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5B111130" w:rsidR="00D82C18" w:rsidRPr="00BB0087" w:rsidRDefault="00E11085" w:rsidP="00BB0087">
      <w:pPr>
        <w:spacing w:before="120" w:after="120" w:line="260" w:lineRule="atLeast"/>
        <w:rPr>
          <w:rFonts w:ascii="Verdana" w:hAnsi="Verdana"/>
          <w:lang w:val="sr-Latn-RS"/>
        </w:rPr>
      </w:pPr>
      <w:r w:rsidRPr="00BB0087">
        <w:rPr>
          <w:rFonts w:ascii="Verdana" w:hAnsi="Verdana"/>
          <w:sz w:val="28"/>
          <w:szCs w:val="28"/>
          <w:lang w:val="sr-Latn-RS"/>
        </w:rPr>
        <w:t>Lekcija</w:t>
      </w:r>
      <w:r w:rsidR="00B3608C" w:rsidRPr="00BB0087">
        <w:rPr>
          <w:rFonts w:ascii="Verdana" w:hAnsi="Verdana"/>
          <w:sz w:val="28"/>
          <w:szCs w:val="28"/>
          <w:lang w:val="sr-Latn-RS"/>
        </w:rPr>
        <w:t xml:space="preserve"> </w:t>
      </w:r>
      <w:r w:rsidR="00C70C5C" w:rsidRPr="00BB0087">
        <w:rPr>
          <w:rFonts w:ascii="Verdana" w:hAnsi="Verdana"/>
          <w:sz w:val="28"/>
          <w:szCs w:val="28"/>
          <w:lang w:val="sr-Latn-RS"/>
        </w:rPr>
        <w:t>2.1</w:t>
      </w:r>
      <w:r w:rsidR="00D82C18" w:rsidRPr="00BB0087">
        <w:rPr>
          <w:rFonts w:ascii="Verdana" w:hAnsi="Verdana"/>
          <w:sz w:val="28"/>
          <w:szCs w:val="28"/>
          <w:lang w:val="sr-Latn-RS"/>
        </w:rPr>
        <w:t xml:space="preserve"> </w:t>
      </w:r>
      <w:r w:rsidR="00C70C5C" w:rsidRPr="00BB0087">
        <w:rPr>
          <w:rFonts w:ascii="Verdana" w:hAnsi="Verdana"/>
          <w:color w:val="000000" w:themeColor="text1"/>
          <w:sz w:val="28"/>
          <w:szCs w:val="28"/>
          <w:lang w:val="sr-Latn-RS"/>
        </w:rPr>
        <w:t>Digital</w:t>
      </w:r>
      <w:r w:rsidRPr="00BB0087">
        <w:rPr>
          <w:rFonts w:ascii="Verdana" w:hAnsi="Verdana"/>
          <w:color w:val="000000" w:themeColor="text1"/>
          <w:sz w:val="28"/>
          <w:szCs w:val="28"/>
          <w:lang w:val="sr-Latn-RS"/>
        </w:rPr>
        <w:t>ni i elektronski dokazi</w:t>
      </w:r>
      <w:r w:rsidR="00C115FC" w:rsidRPr="00BB0087">
        <w:rPr>
          <w:rFonts w:ascii="Verdana" w:hAnsi="Verdana"/>
          <w:color w:val="000000" w:themeColor="text1"/>
          <w:sz w:val="22"/>
          <w:szCs w:val="22"/>
          <w:lang w:val="sr-Latn-RS"/>
        </w:rPr>
        <w:t xml:space="preserve"> </w:t>
      </w:r>
    </w:p>
    <w:p w14:paraId="1D0E3DC5" w14:textId="77777777" w:rsidR="00C115FC" w:rsidRPr="00BB0087" w:rsidRDefault="00C115FC" w:rsidP="00BB0087">
      <w:pPr>
        <w:spacing w:before="120" w:after="120" w:line="260" w:lineRule="atLeast"/>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BB0087" w14:paraId="58A3485E" w14:textId="77777777" w:rsidTr="00F1574D">
        <w:trPr>
          <w:trHeight w:val="872"/>
        </w:trPr>
        <w:tc>
          <w:tcPr>
            <w:tcW w:w="6845" w:type="dxa"/>
            <w:gridSpan w:val="2"/>
            <w:shd w:val="clear" w:color="auto" w:fill="DEEAF6" w:themeFill="accent5" w:themeFillTint="33"/>
            <w:vAlign w:val="center"/>
          </w:tcPr>
          <w:p w14:paraId="0067FF35" w14:textId="621907D6" w:rsidR="00D82C18" w:rsidRPr="00BB0087" w:rsidRDefault="00E11085" w:rsidP="00BB0087">
            <w:pPr>
              <w:spacing w:before="120" w:after="120" w:line="260" w:lineRule="atLeast"/>
              <w:rPr>
                <w:rFonts w:ascii="Verdana" w:hAnsi="Verdana"/>
                <w:sz w:val="22"/>
                <w:szCs w:val="22"/>
                <w:lang w:val="sr-Latn-RS"/>
              </w:rPr>
            </w:pPr>
            <w:r w:rsidRPr="00BB0087">
              <w:rPr>
                <w:rFonts w:ascii="Verdana" w:hAnsi="Verdana"/>
                <w:sz w:val="22"/>
                <w:szCs w:val="22"/>
                <w:lang w:val="sr-Latn-RS"/>
              </w:rPr>
              <w:t xml:space="preserve">Lekcija </w:t>
            </w:r>
            <w:r w:rsidR="00C70C5C" w:rsidRPr="00BB0087">
              <w:rPr>
                <w:rFonts w:ascii="Verdana" w:hAnsi="Verdana"/>
                <w:sz w:val="22"/>
                <w:szCs w:val="22"/>
                <w:lang w:val="sr-Latn-RS"/>
              </w:rPr>
              <w:t>2.1</w:t>
            </w:r>
            <w:r w:rsidR="00D82C18" w:rsidRPr="00BB0087">
              <w:rPr>
                <w:rFonts w:ascii="Verdana" w:hAnsi="Verdana"/>
                <w:sz w:val="22"/>
                <w:szCs w:val="22"/>
                <w:lang w:val="sr-Latn-RS"/>
              </w:rPr>
              <w:t xml:space="preserve"> </w:t>
            </w:r>
            <w:r w:rsidRPr="00BB0087">
              <w:rPr>
                <w:rFonts w:ascii="Verdana" w:hAnsi="Verdana"/>
                <w:color w:val="000000" w:themeColor="text1"/>
                <w:sz w:val="22"/>
                <w:szCs w:val="22"/>
                <w:lang w:val="sr-Latn-RS"/>
              </w:rPr>
              <w:t>Digitalni i elektronski dokazi</w:t>
            </w:r>
          </w:p>
        </w:tc>
        <w:tc>
          <w:tcPr>
            <w:tcW w:w="2165" w:type="dxa"/>
            <w:shd w:val="clear" w:color="auto" w:fill="DEEAF6" w:themeFill="accent5" w:themeFillTint="33"/>
            <w:vAlign w:val="center"/>
          </w:tcPr>
          <w:p w14:paraId="30B631DA" w14:textId="3CF88AF3" w:rsidR="00D82C18" w:rsidRPr="00BB0087" w:rsidRDefault="00E11085" w:rsidP="00BB0087">
            <w:pPr>
              <w:spacing w:before="120" w:after="120" w:line="260" w:lineRule="atLeast"/>
              <w:rPr>
                <w:rFonts w:ascii="Verdana" w:hAnsi="Verdana"/>
                <w:sz w:val="22"/>
                <w:szCs w:val="22"/>
                <w:lang w:val="sr-Latn-RS"/>
              </w:rPr>
            </w:pPr>
            <w:r w:rsidRPr="00BB0087">
              <w:rPr>
                <w:rFonts w:ascii="Verdana" w:hAnsi="Verdana"/>
                <w:sz w:val="22"/>
                <w:szCs w:val="22"/>
                <w:lang w:val="sr-Latn-RS"/>
              </w:rPr>
              <w:t>Trajanje</w:t>
            </w:r>
            <w:r w:rsidR="00D82C18" w:rsidRPr="00BB0087">
              <w:rPr>
                <w:rFonts w:ascii="Verdana" w:hAnsi="Verdana"/>
                <w:sz w:val="22"/>
                <w:szCs w:val="22"/>
                <w:lang w:val="sr-Latn-RS"/>
              </w:rPr>
              <w:t xml:space="preserve">: </w:t>
            </w:r>
            <w:r w:rsidR="009E3827" w:rsidRPr="00BB0087">
              <w:rPr>
                <w:rFonts w:ascii="Verdana" w:hAnsi="Verdana"/>
                <w:color w:val="000000" w:themeColor="text1"/>
                <w:sz w:val="22"/>
                <w:szCs w:val="22"/>
                <w:lang w:val="sr-Latn-RS"/>
              </w:rPr>
              <w:t>90</w:t>
            </w:r>
            <w:r w:rsidR="00C115FC" w:rsidRPr="00BB0087">
              <w:rPr>
                <w:rFonts w:ascii="Verdana" w:hAnsi="Verdana"/>
                <w:color w:val="000000" w:themeColor="text1"/>
                <w:sz w:val="22"/>
                <w:szCs w:val="22"/>
                <w:lang w:val="sr-Latn-RS"/>
              </w:rPr>
              <w:t xml:space="preserve"> </w:t>
            </w:r>
            <w:r w:rsidRPr="00BB0087">
              <w:rPr>
                <w:rFonts w:ascii="Verdana" w:hAnsi="Verdana"/>
                <w:color w:val="000000" w:themeColor="text1"/>
                <w:sz w:val="22"/>
                <w:szCs w:val="22"/>
                <w:lang w:val="sr-Latn-RS"/>
              </w:rPr>
              <w:t>minuta</w:t>
            </w:r>
            <w:r w:rsidR="00E13BE7" w:rsidRPr="00BB0087">
              <w:rPr>
                <w:rFonts w:ascii="Verdana" w:hAnsi="Verdana"/>
                <w:color w:val="000000" w:themeColor="text1"/>
                <w:sz w:val="22"/>
                <w:szCs w:val="22"/>
                <w:lang w:val="sr-Latn-RS"/>
              </w:rPr>
              <w:t xml:space="preserve"> </w:t>
            </w:r>
          </w:p>
        </w:tc>
      </w:tr>
      <w:tr w:rsidR="00E7344B" w:rsidRPr="00BB0087" w14:paraId="7C1107AB" w14:textId="77777777" w:rsidTr="00F1574D">
        <w:trPr>
          <w:trHeight w:val="5507"/>
        </w:trPr>
        <w:tc>
          <w:tcPr>
            <w:tcW w:w="9010" w:type="dxa"/>
            <w:gridSpan w:val="3"/>
            <w:vAlign w:val="center"/>
          </w:tcPr>
          <w:p w14:paraId="0B1C3404" w14:textId="39590EFD" w:rsidR="00E7344B" w:rsidRPr="00BB0087" w:rsidRDefault="00E11085" w:rsidP="00BB0087">
            <w:pPr>
              <w:spacing w:before="120" w:after="120" w:line="260" w:lineRule="atLeast"/>
              <w:rPr>
                <w:rFonts w:ascii="Verdana" w:hAnsi="Verdana"/>
                <w:b/>
                <w:sz w:val="22"/>
                <w:szCs w:val="22"/>
                <w:lang w:val="sr-Latn-RS"/>
              </w:rPr>
            </w:pPr>
            <w:r w:rsidRPr="00BB0087">
              <w:rPr>
                <w:rFonts w:ascii="Verdana" w:hAnsi="Verdana"/>
                <w:b/>
                <w:sz w:val="22"/>
                <w:szCs w:val="22"/>
                <w:lang w:val="sr-Latn-RS"/>
              </w:rPr>
              <w:t>Potrebni resursi</w:t>
            </w:r>
            <w:r w:rsidR="00E7344B" w:rsidRPr="00BB0087">
              <w:rPr>
                <w:rFonts w:ascii="Verdana" w:hAnsi="Verdana"/>
                <w:b/>
                <w:sz w:val="22"/>
                <w:szCs w:val="22"/>
                <w:lang w:val="sr-Latn-RS"/>
              </w:rPr>
              <w:t>:</w:t>
            </w:r>
            <w:r w:rsidR="00E13BE7" w:rsidRPr="00BB0087">
              <w:rPr>
                <w:rFonts w:ascii="Verdana" w:hAnsi="Verdana"/>
                <w:b/>
                <w:sz w:val="22"/>
                <w:szCs w:val="22"/>
                <w:lang w:val="sr-Latn-RS"/>
              </w:rPr>
              <w:t xml:space="preserve"> </w:t>
            </w:r>
          </w:p>
          <w:p w14:paraId="1F0236A4" w14:textId="76520EF7" w:rsidR="00E11085" w:rsidRPr="00BB0087" w:rsidRDefault="00E11085" w:rsidP="00BB0087">
            <w:pPr>
              <w:pStyle w:val="bul1"/>
              <w:numPr>
                <w:ilvl w:val="0"/>
                <w:numId w:val="6"/>
              </w:numPr>
              <w:spacing w:before="120" w:after="120" w:line="260" w:lineRule="atLeast"/>
              <w:ind w:left="0" w:firstLine="0"/>
              <w:rPr>
                <w:lang w:val="sr-Latn-RS"/>
              </w:rPr>
            </w:pPr>
            <w:r w:rsidRPr="00BB0087">
              <w:rPr>
                <w:lang w:val="sr-Latn-RS"/>
              </w:rPr>
              <w:t>Lični računar</w:t>
            </w:r>
            <w:r w:rsidR="00A32036" w:rsidRPr="00BB0087">
              <w:rPr>
                <w:lang w:val="sr-Latn-RS"/>
              </w:rPr>
              <w:t>, odnosno</w:t>
            </w:r>
            <w:r w:rsidR="00E274B2" w:rsidRPr="00BB0087">
              <w:rPr>
                <w:lang w:val="sr-Latn-RS"/>
              </w:rPr>
              <w:t xml:space="preserve"> </w:t>
            </w:r>
            <w:r w:rsidRPr="00BB0087">
              <w:rPr>
                <w:lang w:val="sr-Latn-RS"/>
              </w:rPr>
              <w:t>laptop opremljen softverskim verzijama koje su kompatibilne s pripremljenim materijalom</w:t>
            </w:r>
          </w:p>
          <w:p w14:paraId="01B54052" w14:textId="77777777" w:rsidR="00E11085" w:rsidRPr="00BB0087" w:rsidRDefault="00E11085" w:rsidP="00BB0087">
            <w:pPr>
              <w:pStyle w:val="bul1"/>
              <w:numPr>
                <w:ilvl w:val="0"/>
                <w:numId w:val="6"/>
              </w:numPr>
              <w:spacing w:before="120" w:after="120" w:line="260" w:lineRule="atLeast"/>
              <w:ind w:left="0" w:firstLine="0"/>
              <w:rPr>
                <w:lang w:val="sr-Latn-RS"/>
              </w:rPr>
            </w:pPr>
            <w:r w:rsidRPr="00BB0087">
              <w:rPr>
                <w:lang w:val="sr-Latn-RS"/>
              </w:rPr>
              <w:t>Pristup internetu (ako je omogućen)</w:t>
            </w:r>
          </w:p>
          <w:p w14:paraId="575CEC8B" w14:textId="7B9E83C5" w:rsidR="000F7896" w:rsidRPr="00BB0087" w:rsidRDefault="000F7896" w:rsidP="00BB0087">
            <w:pPr>
              <w:pStyle w:val="bul1"/>
              <w:numPr>
                <w:ilvl w:val="0"/>
                <w:numId w:val="6"/>
              </w:numPr>
              <w:spacing w:before="120" w:after="120" w:line="260" w:lineRule="atLeast"/>
              <w:ind w:left="0" w:firstLine="0"/>
              <w:rPr>
                <w:lang w:val="sr-Latn-RS"/>
              </w:rPr>
            </w:pPr>
            <w:r w:rsidRPr="00BB0087">
              <w:rPr>
                <w:i/>
                <w:lang w:val="sr-Latn-RS"/>
              </w:rPr>
              <w:t>PowerPoint</w:t>
            </w:r>
            <w:r w:rsidRPr="00BB0087">
              <w:rPr>
                <w:lang w:val="sr-Latn-RS"/>
              </w:rPr>
              <w:t xml:space="preserve"> </w:t>
            </w:r>
            <w:r w:rsidR="00E11085" w:rsidRPr="00BB0087">
              <w:rPr>
                <w:lang w:val="sr-Latn-RS"/>
              </w:rPr>
              <w:t>ili neka druga prezentacija</w:t>
            </w:r>
          </w:p>
          <w:p w14:paraId="22EB744D" w14:textId="0C18E716" w:rsidR="000F7896" w:rsidRPr="00BB0087" w:rsidRDefault="00E11085" w:rsidP="00BB0087">
            <w:pPr>
              <w:pStyle w:val="bul1"/>
              <w:numPr>
                <w:ilvl w:val="0"/>
                <w:numId w:val="6"/>
              </w:numPr>
              <w:spacing w:before="120" w:after="120" w:line="260" w:lineRule="atLeast"/>
              <w:ind w:left="0" w:firstLine="0"/>
              <w:rPr>
                <w:lang w:val="sr-Latn-RS"/>
              </w:rPr>
            </w:pPr>
            <w:r w:rsidRPr="00BB0087">
              <w:rPr>
                <w:lang w:val="sr-Latn-RS"/>
              </w:rPr>
              <w:t xml:space="preserve">Primeri kompjuterskog hardvera </w:t>
            </w:r>
            <w:r w:rsidR="000F7896" w:rsidRPr="00BB0087">
              <w:rPr>
                <w:lang w:val="sr-Latn-RS"/>
              </w:rPr>
              <w:t>(</w:t>
            </w:r>
            <w:r w:rsidRPr="00BB0087">
              <w:rPr>
                <w:lang w:val="sr-Latn-RS"/>
              </w:rPr>
              <w:t>ako su dostupni</w:t>
            </w:r>
            <w:r w:rsidR="000F7896" w:rsidRPr="00BB0087">
              <w:rPr>
                <w:lang w:val="sr-Latn-RS"/>
              </w:rPr>
              <w:t>)*</w:t>
            </w:r>
          </w:p>
          <w:p w14:paraId="20084569" w14:textId="1822F849" w:rsidR="00E11085" w:rsidRPr="00BB0087" w:rsidRDefault="00E11085" w:rsidP="00BB0087">
            <w:pPr>
              <w:pStyle w:val="bul1"/>
              <w:numPr>
                <w:ilvl w:val="0"/>
                <w:numId w:val="6"/>
              </w:numPr>
              <w:spacing w:before="120" w:after="120" w:line="260" w:lineRule="atLeast"/>
              <w:ind w:left="0" w:firstLine="0"/>
              <w:rPr>
                <w:lang w:val="sr-Latn-RS"/>
              </w:rPr>
            </w:pPr>
            <w:r w:rsidRPr="00BB0087">
              <w:rPr>
                <w:lang w:val="sr-Latn-RS"/>
              </w:rPr>
              <w:t xml:space="preserve">Primerak Vodiča </w:t>
            </w:r>
            <w:r w:rsidR="0098003E" w:rsidRPr="00BB0087">
              <w:rPr>
                <w:rFonts w:eastAsia="Times New Roman"/>
                <w:lang w:val="sr-Latn-RS"/>
              </w:rPr>
              <w:t xml:space="preserve">Saveta Evrope </w:t>
            </w:r>
            <w:r w:rsidRPr="00BB0087">
              <w:rPr>
                <w:lang w:val="sr-Latn-RS"/>
              </w:rPr>
              <w:t xml:space="preserve">za elektronske dokaze </w:t>
            </w:r>
          </w:p>
          <w:p w14:paraId="305DD33C" w14:textId="75FD0AA7" w:rsidR="000F7896" w:rsidRPr="00BB0087" w:rsidRDefault="00E11085" w:rsidP="00BB0087">
            <w:pPr>
              <w:pStyle w:val="bul1"/>
              <w:numPr>
                <w:ilvl w:val="0"/>
                <w:numId w:val="6"/>
              </w:numPr>
              <w:spacing w:before="120" w:after="120" w:line="260" w:lineRule="atLeast"/>
              <w:ind w:left="0" w:firstLine="0"/>
              <w:rPr>
                <w:lang w:val="sr-Latn-RS"/>
              </w:rPr>
            </w:pPr>
            <w:r w:rsidRPr="00BB0087">
              <w:rPr>
                <w:lang w:val="sr-Latn-RS"/>
              </w:rPr>
              <w:t xml:space="preserve">Primerak </w:t>
            </w:r>
            <w:r w:rsidR="00481F92" w:rsidRPr="00BB0087">
              <w:rPr>
                <w:lang w:val="sr-Latn-RS"/>
              </w:rPr>
              <w:t>elektronskih</w:t>
            </w:r>
            <w:r w:rsidRPr="00BB0087">
              <w:rPr>
                <w:lang w:val="sr-Latn-RS"/>
              </w:rPr>
              <w:t xml:space="preserve"> dokaza koji su pročitani tokom pripreme za ovaj kurs</w:t>
            </w:r>
          </w:p>
          <w:p w14:paraId="2BD33BD2" w14:textId="3265E599" w:rsidR="000F7896" w:rsidRPr="00BB0087" w:rsidRDefault="00E11085" w:rsidP="00BB0087">
            <w:pPr>
              <w:pStyle w:val="bul1"/>
              <w:numPr>
                <w:ilvl w:val="0"/>
                <w:numId w:val="6"/>
              </w:numPr>
              <w:spacing w:before="120" w:after="120" w:line="260" w:lineRule="atLeast"/>
              <w:ind w:left="0" w:firstLine="0"/>
              <w:rPr>
                <w:lang w:val="sr-Latn-RS"/>
              </w:rPr>
            </w:pPr>
            <w:r w:rsidRPr="00BB0087">
              <w:rPr>
                <w:lang w:val="sr-Latn-RS"/>
              </w:rPr>
              <w:t>Štampani primerci dopun</w:t>
            </w:r>
            <w:r w:rsidR="0098003E" w:rsidRPr="00BB0087">
              <w:rPr>
                <w:lang w:val="sr-Latn-RS"/>
              </w:rPr>
              <w:t>skih priloga uz</w:t>
            </w:r>
            <w:r w:rsidRPr="00BB0087">
              <w:rPr>
                <w:lang w:val="sr-Latn-RS"/>
              </w:rPr>
              <w:t xml:space="preserve"> Vodič koji se koriste u ovoj sesiji</w:t>
            </w:r>
          </w:p>
          <w:p w14:paraId="14CF9EF0" w14:textId="3059F2D4" w:rsidR="000F7896" w:rsidRPr="00BB0087" w:rsidRDefault="000F7896" w:rsidP="00BB0087">
            <w:pPr>
              <w:pStyle w:val="bul1"/>
              <w:numPr>
                <w:ilvl w:val="0"/>
                <w:numId w:val="0"/>
              </w:numPr>
              <w:spacing w:before="120" w:after="120" w:line="260" w:lineRule="atLeast"/>
              <w:rPr>
                <w:lang w:val="sr-Latn-RS"/>
              </w:rPr>
            </w:pPr>
            <w:r w:rsidRPr="00BB0087">
              <w:rPr>
                <w:lang w:val="sr-Latn-RS"/>
              </w:rPr>
              <w:t xml:space="preserve">* </w:t>
            </w:r>
            <w:r w:rsidR="00E11085" w:rsidRPr="00BB0087">
              <w:rPr>
                <w:lang w:val="sr-Latn-RS"/>
              </w:rPr>
              <w:t>Preporučuje se da</w:t>
            </w:r>
            <w:r w:rsidR="00E274B2" w:rsidRPr="00BB0087">
              <w:rPr>
                <w:lang w:val="sr-Latn-RS"/>
              </w:rPr>
              <w:t xml:space="preserve"> </w:t>
            </w:r>
            <w:r w:rsidR="00E11085" w:rsidRPr="00BB0087">
              <w:rPr>
                <w:lang w:val="sr-Latn-RS"/>
              </w:rPr>
              <w:t xml:space="preserve">predavač nabavi različite delove kompjuterskog hardvera kako bi ih koristio tokom ove sesije. Trebalo bi obuhvatiti one delove koji sadrže dokaze i one delove koji ne sadrže dokaze, kao što su punjači, kablovi i drugo. Potom se ti delovi mogu dati u ruke polaznicima i zapitati svakog od njih da li taj komad opreme koji drže u ruci može da sadrži ili ne može da sadrži elektronske dokaze. Važno je da se tokom sesije naglasi da pored elektronskih dokaza, delovi opreme mogu da sadrže i tradicionalne dokaze, kao što su otisci prstiju ili DNK. Na slajdovima od </w:t>
            </w:r>
            <w:r w:rsidRPr="00BB0087">
              <w:rPr>
                <w:lang w:val="sr-Latn-RS"/>
              </w:rPr>
              <w:t xml:space="preserve">18 </w:t>
            </w:r>
            <w:r w:rsidR="00E11085" w:rsidRPr="00BB0087">
              <w:rPr>
                <w:lang w:val="sr-Latn-RS"/>
              </w:rPr>
              <w:t xml:space="preserve">do </w:t>
            </w:r>
            <w:r w:rsidRPr="00BB0087">
              <w:rPr>
                <w:lang w:val="sr-Latn-RS"/>
              </w:rPr>
              <w:t>42</w:t>
            </w:r>
            <w:r w:rsidR="00E11085" w:rsidRPr="00BB0087">
              <w:rPr>
                <w:lang w:val="sr-Latn-RS"/>
              </w:rPr>
              <w:t xml:space="preserve"> prikazani su i opisani uređaji koji treba da pomognu predavaču tamo gde nije bilo moguće obezbediti fizičke dokaze za kurs. Predavač može jednostavno da ne prikaže te slajdove ako su ti delovi uređaja obezbeđeni ili ih može koristiti kao dopunski materijal. </w:t>
            </w:r>
          </w:p>
        </w:tc>
      </w:tr>
      <w:tr w:rsidR="00E7344B" w:rsidRPr="00BB0087" w14:paraId="635F2EFD" w14:textId="77777777" w:rsidTr="00F1574D">
        <w:trPr>
          <w:trHeight w:val="2879"/>
        </w:trPr>
        <w:tc>
          <w:tcPr>
            <w:tcW w:w="9010" w:type="dxa"/>
            <w:gridSpan w:val="3"/>
            <w:vAlign w:val="center"/>
          </w:tcPr>
          <w:p w14:paraId="34602AF3" w14:textId="6D9B5A32" w:rsidR="00A03CF0" w:rsidRPr="00BB0087" w:rsidRDefault="00F23183" w:rsidP="00BB0087">
            <w:pPr>
              <w:spacing w:before="120" w:after="120" w:line="260" w:lineRule="atLeast"/>
              <w:rPr>
                <w:rFonts w:ascii="Verdana" w:hAnsi="Verdana"/>
                <w:b/>
                <w:sz w:val="22"/>
                <w:szCs w:val="22"/>
                <w:lang w:val="sr-Latn-RS"/>
              </w:rPr>
            </w:pPr>
            <w:r w:rsidRPr="00BB0087">
              <w:rPr>
                <w:rFonts w:ascii="Verdana" w:hAnsi="Verdana"/>
                <w:b/>
                <w:sz w:val="22"/>
                <w:szCs w:val="22"/>
                <w:lang w:val="sr-Latn-RS"/>
              </w:rPr>
              <w:t>Svrha sesije</w:t>
            </w:r>
            <w:r w:rsidR="00A03CF0" w:rsidRPr="00BB0087">
              <w:rPr>
                <w:rFonts w:ascii="Verdana" w:hAnsi="Verdana"/>
                <w:b/>
                <w:sz w:val="22"/>
                <w:szCs w:val="22"/>
                <w:lang w:val="sr-Latn-RS"/>
              </w:rPr>
              <w:t>:</w:t>
            </w:r>
            <w:r w:rsidR="00E274B2" w:rsidRPr="00BB0087">
              <w:rPr>
                <w:rFonts w:ascii="Verdana" w:hAnsi="Verdana"/>
                <w:b/>
                <w:sz w:val="22"/>
                <w:szCs w:val="22"/>
                <w:lang w:val="sr-Latn-RS"/>
              </w:rPr>
              <w:t xml:space="preserve"> </w:t>
            </w:r>
          </w:p>
          <w:p w14:paraId="3FE58655" w14:textId="747CFA03" w:rsidR="00A03CF0" w:rsidRPr="00BB0087" w:rsidRDefault="00F23183" w:rsidP="00BB0087">
            <w:pPr>
              <w:spacing w:before="120" w:after="120" w:line="260" w:lineRule="atLeast"/>
              <w:jc w:val="both"/>
              <w:rPr>
                <w:rFonts w:ascii="Verdana" w:hAnsi="Verdana"/>
                <w:i/>
                <w:color w:val="FF0000"/>
                <w:sz w:val="18"/>
                <w:szCs w:val="18"/>
                <w:lang w:val="sr-Latn-RS"/>
              </w:rPr>
            </w:pPr>
            <w:r w:rsidRPr="00BB0087">
              <w:rPr>
                <w:rFonts w:ascii="Verdana" w:eastAsia="Times New Roman" w:hAnsi="Verdana" w:cs="Times New Roman"/>
                <w:sz w:val="18"/>
                <w:szCs w:val="18"/>
                <w:lang w:val="sr-Latn-RS"/>
              </w:rPr>
              <w:t>Svrha ove sesije jeste da se sudijama i tužiocima omogući da steknu znanje o pitanjima koja se odnose na elektronske dokaze, kao što su razne vrste dokaza s kojima će se susretati u svome radu, način na koji se ti dokazi prikupljaju i na koji se njima rukuje tokom istrage i na koji se iznose u krivičnom postupku. Takođe će im se omogućiti da saznaju nešto više o izazovima na koje će naići kada treba prikupiti takve dokaze iz drugih jurisdikcija. Pored toga,</w:t>
            </w:r>
            <w:r w:rsidR="00E274B2" w:rsidRPr="00BB0087">
              <w:rPr>
                <w:rFonts w:ascii="Verdana" w:eastAsia="Times New Roman" w:hAnsi="Verdana" w:cs="Times New Roman"/>
                <w:sz w:val="18"/>
                <w:szCs w:val="18"/>
                <w:lang w:val="sr-Latn-RS"/>
              </w:rPr>
              <w:t xml:space="preserve"> </w:t>
            </w:r>
            <w:r w:rsidRPr="00BB0087">
              <w:rPr>
                <w:rFonts w:ascii="Verdana" w:eastAsia="Times New Roman" w:hAnsi="Verdana" w:cs="Times New Roman"/>
                <w:sz w:val="18"/>
                <w:szCs w:val="18"/>
                <w:lang w:val="sr-Latn-RS"/>
              </w:rPr>
              <w:t xml:space="preserve">na kratkoj sesiji na kojoj će biti izneti osnovi digitalne forenzike govoriće se o tome kako sa zaplene dokaza preći na elektronske dokaze, njihovo ispitivanje i prezentiranje. Nivo podrobnosti znanja koji je </w:t>
            </w:r>
            <w:r w:rsidR="00367229" w:rsidRPr="00BB0087">
              <w:rPr>
                <w:rFonts w:ascii="Verdana" w:eastAsia="Times New Roman" w:hAnsi="Verdana" w:cs="Times New Roman"/>
                <w:sz w:val="18"/>
                <w:szCs w:val="18"/>
                <w:lang w:val="sr-Latn-RS"/>
              </w:rPr>
              <w:t>polaznicima</w:t>
            </w:r>
            <w:r w:rsidRPr="00BB0087">
              <w:rPr>
                <w:rFonts w:ascii="Verdana" w:eastAsia="Times New Roman" w:hAnsi="Verdana" w:cs="Times New Roman"/>
                <w:sz w:val="18"/>
                <w:szCs w:val="18"/>
                <w:lang w:val="sr-Latn-RS"/>
              </w:rPr>
              <w:t xml:space="preserve"> potreban može se razlikovati zavisno od pravnog sistema u datoj zemlji i obima učešća polaznika kursa u istražnoj fazi. </w:t>
            </w:r>
          </w:p>
        </w:tc>
      </w:tr>
      <w:tr w:rsidR="00A03CF0" w:rsidRPr="00BB0087" w14:paraId="1B5A80A7" w14:textId="77777777" w:rsidTr="001E7389">
        <w:trPr>
          <w:trHeight w:val="983"/>
        </w:trPr>
        <w:tc>
          <w:tcPr>
            <w:tcW w:w="9010" w:type="dxa"/>
            <w:gridSpan w:val="3"/>
            <w:vAlign w:val="center"/>
          </w:tcPr>
          <w:p w14:paraId="559A7E05" w14:textId="0AF9B86B" w:rsidR="00A03CF0" w:rsidRPr="00BB0087" w:rsidRDefault="00F23183" w:rsidP="00BB0087">
            <w:pPr>
              <w:spacing w:before="120" w:after="120" w:line="260" w:lineRule="atLeast"/>
              <w:contextualSpacing/>
              <w:rPr>
                <w:rFonts w:ascii="Verdana" w:hAnsi="Verdana"/>
                <w:b/>
                <w:sz w:val="22"/>
                <w:szCs w:val="22"/>
                <w:lang w:val="sr-Latn-RS"/>
              </w:rPr>
            </w:pPr>
            <w:r w:rsidRPr="00BB0087">
              <w:rPr>
                <w:rFonts w:ascii="Verdana" w:hAnsi="Verdana"/>
                <w:b/>
                <w:sz w:val="22"/>
                <w:szCs w:val="22"/>
                <w:lang w:val="sr-Latn-RS"/>
              </w:rPr>
              <w:t>Ciljevi</w:t>
            </w:r>
            <w:r w:rsidR="00271010" w:rsidRPr="00BB0087">
              <w:rPr>
                <w:rFonts w:ascii="Verdana" w:hAnsi="Verdana"/>
                <w:b/>
                <w:sz w:val="22"/>
                <w:szCs w:val="22"/>
                <w:lang w:val="sr-Latn-RS"/>
              </w:rPr>
              <w:t>:</w:t>
            </w:r>
          </w:p>
          <w:p w14:paraId="7552C5F6" w14:textId="04A4EDB1" w:rsidR="000F7896" w:rsidRPr="00BB0087" w:rsidRDefault="00F23183" w:rsidP="00BB0087">
            <w:pPr>
              <w:tabs>
                <w:tab w:val="left" w:pos="426"/>
                <w:tab w:val="left" w:pos="851"/>
              </w:tabs>
              <w:spacing w:before="120" w:after="120" w:line="260" w:lineRule="atLeast"/>
              <w:rPr>
                <w:rFonts w:ascii="Verdana" w:eastAsia="Times New Roman" w:hAnsi="Verdana" w:cs="Times New Roman"/>
                <w:sz w:val="18"/>
                <w:szCs w:val="18"/>
                <w:lang w:val="sr-Latn-RS"/>
              </w:rPr>
            </w:pPr>
            <w:r w:rsidRPr="00BB0087">
              <w:rPr>
                <w:rFonts w:ascii="Verdana" w:eastAsia="Times New Roman" w:hAnsi="Verdana" w:cs="Times New Roman"/>
                <w:sz w:val="18"/>
                <w:szCs w:val="18"/>
                <w:lang w:val="sr-Latn-RS"/>
              </w:rPr>
              <w:t>Na kraju</w:t>
            </w:r>
            <w:r w:rsidR="00E274B2" w:rsidRPr="00BB0087">
              <w:rPr>
                <w:rFonts w:ascii="Verdana" w:eastAsia="Times New Roman" w:hAnsi="Verdana" w:cs="Times New Roman"/>
                <w:sz w:val="18"/>
                <w:szCs w:val="18"/>
                <w:lang w:val="sr-Latn-RS"/>
              </w:rPr>
              <w:t xml:space="preserve"> </w:t>
            </w:r>
            <w:r w:rsidRPr="00BB0087">
              <w:rPr>
                <w:rFonts w:ascii="Verdana" w:eastAsia="Times New Roman" w:hAnsi="Verdana" w:cs="Times New Roman"/>
                <w:sz w:val="18"/>
                <w:szCs w:val="18"/>
                <w:lang w:val="sr-Latn-RS"/>
              </w:rPr>
              <w:t>ove sesije polaznici će biti u stanju da</w:t>
            </w:r>
            <w:r w:rsidR="000F7896" w:rsidRPr="00BB0087">
              <w:rPr>
                <w:rFonts w:ascii="Verdana" w:eastAsia="Times New Roman" w:hAnsi="Verdana" w:cs="Times New Roman"/>
                <w:sz w:val="18"/>
                <w:szCs w:val="18"/>
                <w:lang w:val="sr-Latn-RS"/>
              </w:rPr>
              <w:t>:</w:t>
            </w:r>
          </w:p>
          <w:p w14:paraId="4CD4B585" w14:textId="19F1F4D3" w:rsidR="00F23183" w:rsidRPr="00BB0087" w:rsidRDefault="00F23183" w:rsidP="00BB0087">
            <w:pPr>
              <w:pStyle w:val="bul1"/>
              <w:spacing w:before="120" w:after="120" w:line="260" w:lineRule="atLeast"/>
              <w:ind w:left="0" w:firstLine="0"/>
              <w:rPr>
                <w:lang w:val="sr-Latn-RS"/>
              </w:rPr>
            </w:pPr>
            <w:r w:rsidRPr="00BB0087">
              <w:rPr>
                <w:lang w:val="sr-Latn-RS"/>
              </w:rPr>
              <w:t>Razmatraju različite vrste elektronskih dokaza</w:t>
            </w:r>
            <w:r w:rsidR="00E274B2" w:rsidRPr="00BB0087">
              <w:rPr>
                <w:lang w:val="sr-Latn-RS"/>
              </w:rPr>
              <w:t>;</w:t>
            </w:r>
          </w:p>
          <w:p w14:paraId="5E9B878F" w14:textId="2C0A9C3C" w:rsidR="00915AE5" w:rsidRPr="00BB0087" w:rsidRDefault="00F23183" w:rsidP="00BB0087">
            <w:pPr>
              <w:pStyle w:val="bul1"/>
              <w:spacing w:before="120" w:after="120" w:line="260" w:lineRule="atLeast"/>
              <w:ind w:left="0" w:firstLine="0"/>
              <w:rPr>
                <w:lang w:val="sr-Latn-RS"/>
              </w:rPr>
            </w:pPr>
            <w:r w:rsidRPr="00BB0087">
              <w:rPr>
                <w:lang w:val="sr-Latn-RS"/>
              </w:rPr>
              <w:t xml:space="preserve">Rezimiraju ključne tačke </w:t>
            </w:r>
            <w:r w:rsidR="00915AE5" w:rsidRPr="00BB0087">
              <w:rPr>
                <w:lang w:val="sr-Latn-RS"/>
              </w:rPr>
              <w:t xml:space="preserve">Vodiča </w:t>
            </w:r>
            <w:r w:rsidR="0098003E" w:rsidRPr="00BB0087">
              <w:rPr>
                <w:lang w:val="sr-Latn-RS"/>
              </w:rPr>
              <w:t xml:space="preserve">Saveta Evrope </w:t>
            </w:r>
            <w:r w:rsidR="00915AE5" w:rsidRPr="00BB0087">
              <w:rPr>
                <w:lang w:val="sr-Latn-RS"/>
              </w:rPr>
              <w:t xml:space="preserve">za elektronske dokaze, naročito u vezi s </w:t>
            </w:r>
            <w:r w:rsidR="0098003E" w:rsidRPr="00BB0087">
              <w:rPr>
                <w:lang w:val="sr-Latn-RS"/>
              </w:rPr>
              <w:t>principima</w:t>
            </w:r>
            <w:r w:rsidR="00915AE5" w:rsidRPr="00BB0087">
              <w:rPr>
                <w:lang w:val="sr-Latn-RS"/>
              </w:rPr>
              <w:t xml:space="preserve"> zaplene tih dokaza i </w:t>
            </w:r>
            <w:r w:rsidR="00F06F6D" w:rsidRPr="00BB0087">
              <w:rPr>
                <w:lang w:val="sr-Latn-RS"/>
              </w:rPr>
              <w:t xml:space="preserve">postupanja s </w:t>
            </w:r>
            <w:r w:rsidR="00915AE5" w:rsidRPr="00BB0087">
              <w:rPr>
                <w:lang w:val="sr-Latn-RS"/>
              </w:rPr>
              <w:t>njima</w:t>
            </w:r>
            <w:r w:rsidR="00E274B2" w:rsidRPr="00BB0087">
              <w:rPr>
                <w:lang w:val="sr-Latn-RS"/>
              </w:rPr>
              <w:t>;</w:t>
            </w:r>
            <w:r w:rsidR="00915AE5" w:rsidRPr="00BB0087">
              <w:rPr>
                <w:lang w:val="sr-Latn-RS"/>
              </w:rPr>
              <w:t xml:space="preserve"> </w:t>
            </w:r>
          </w:p>
          <w:p w14:paraId="01ABA3A7" w14:textId="14B1C7B8" w:rsidR="00915AE5" w:rsidRPr="00BB0087" w:rsidRDefault="00915AE5" w:rsidP="00BB0087">
            <w:pPr>
              <w:pStyle w:val="bul1"/>
              <w:spacing w:before="120" w:after="120" w:line="260" w:lineRule="atLeast"/>
              <w:ind w:left="0" w:firstLine="0"/>
              <w:rPr>
                <w:lang w:val="sr-Latn-RS"/>
              </w:rPr>
            </w:pPr>
            <w:r w:rsidRPr="00BB0087">
              <w:rPr>
                <w:lang w:val="sr-Latn-RS"/>
              </w:rPr>
              <w:t>Identifikuju različite izazove koje predstavljaju forenzika „tajnog sandučeta</w:t>
            </w:r>
            <w:r w:rsidR="00E274B2" w:rsidRPr="00BB0087">
              <w:rPr>
                <w:lang w:val="sr-Latn-RS"/>
              </w:rPr>
              <w:t>”</w:t>
            </w:r>
            <w:r w:rsidRPr="00BB0087">
              <w:rPr>
                <w:lang w:val="sr-Latn-RS"/>
              </w:rPr>
              <w:t xml:space="preserve"> i „živih podataka</w:t>
            </w:r>
            <w:r w:rsidR="00E274B2" w:rsidRPr="00BB0087">
              <w:rPr>
                <w:lang w:val="sr-Latn-RS"/>
              </w:rPr>
              <w:t>”</w:t>
            </w:r>
            <w:r w:rsidRPr="00BB0087">
              <w:rPr>
                <w:lang w:val="sr-Latn-RS"/>
              </w:rPr>
              <w:t xml:space="preserve">, kao i podaci iz </w:t>
            </w:r>
            <w:r w:rsidR="00E274B2" w:rsidRPr="00BB0087">
              <w:rPr>
                <w:lang w:val="sr-Latn-RS"/>
              </w:rPr>
              <w:t>„</w:t>
            </w:r>
            <w:r w:rsidRPr="00BB0087">
              <w:rPr>
                <w:lang w:val="sr-Latn-RS"/>
              </w:rPr>
              <w:t>oblaka</w:t>
            </w:r>
            <w:r w:rsidR="00E274B2" w:rsidRPr="00BB0087">
              <w:rPr>
                <w:lang w:val="sr-Latn-RS"/>
              </w:rPr>
              <w:t>”;</w:t>
            </w:r>
          </w:p>
          <w:p w14:paraId="16562A1A" w14:textId="02C5AA6C" w:rsidR="00915AE5" w:rsidRPr="00BB0087" w:rsidRDefault="00915AE5" w:rsidP="00BB0087">
            <w:pPr>
              <w:pStyle w:val="bul1"/>
              <w:spacing w:before="120" w:after="120" w:line="260" w:lineRule="atLeast"/>
              <w:ind w:left="0" w:firstLine="0"/>
              <w:rPr>
                <w:lang w:val="sr-Latn-RS"/>
              </w:rPr>
            </w:pPr>
            <w:r w:rsidRPr="00BB0087">
              <w:rPr>
                <w:lang w:val="sr-Latn-RS"/>
              </w:rPr>
              <w:t>Raspravljaju o prihvatljivosti elektronskih dokaza</w:t>
            </w:r>
            <w:r w:rsidR="00E274B2" w:rsidRPr="00BB0087">
              <w:rPr>
                <w:lang w:val="sr-Latn-RS"/>
              </w:rPr>
              <w:t>;</w:t>
            </w:r>
          </w:p>
          <w:p w14:paraId="26E1EF02" w14:textId="7D455878" w:rsidR="00915AE5" w:rsidRPr="00BB0087" w:rsidRDefault="00915AE5" w:rsidP="00BB0087">
            <w:pPr>
              <w:pStyle w:val="bul1"/>
              <w:spacing w:before="120" w:after="120" w:line="260" w:lineRule="atLeast"/>
              <w:ind w:left="0" w:firstLine="0"/>
              <w:rPr>
                <w:lang w:val="sr-Latn-RS"/>
              </w:rPr>
            </w:pPr>
            <w:r w:rsidRPr="00BB0087">
              <w:rPr>
                <w:lang w:val="sr-Latn-RS"/>
              </w:rPr>
              <w:t xml:space="preserve">Uporede </w:t>
            </w:r>
            <w:r w:rsidR="0089765C" w:rsidRPr="00BB0087">
              <w:rPr>
                <w:lang w:val="sr-Latn-RS"/>
              </w:rPr>
              <w:t xml:space="preserve">digitalnu </w:t>
            </w:r>
            <w:r w:rsidRPr="00BB0087">
              <w:rPr>
                <w:lang w:val="sr-Latn-RS"/>
              </w:rPr>
              <w:t>s tradicionalnom forenzikom</w:t>
            </w:r>
            <w:r w:rsidR="00E274B2" w:rsidRPr="00BB0087">
              <w:rPr>
                <w:lang w:val="sr-Latn-RS"/>
              </w:rPr>
              <w:t>;</w:t>
            </w:r>
          </w:p>
          <w:p w14:paraId="61ABEAC5" w14:textId="19B85AF2" w:rsidR="001E7389" w:rsidRPr="00BB0087" w:rsidRDefault="00915AE5" w:rsidP="00BB0087">
            <w:pPr>
              <w:pStyle w:val="bul1"/>
              <w:spacing w:before="120" w:after="120" w:line="260" w:lineRule="atLeast"/>
              <w:ind w:left="0" w:firstLine="0"/>
              <w:rPr>
                <w:lang w:val="sr-Latn-RS"/>
              </w:rPr>
            </w:pPr>
            <w:r w:rsidRPr="00BB0087">
              <w:rPr>
                <w:lang w:val="sr-Latn-RS"/>
              </w:rPr>
              <w:t>Identifikuju četiri ključne faze ispitivanja u sklopu digitalne forenzike</w:t>
            </w:r>
            <w:r w:rsidR="00E274B2" w:rsidRPr="00BB0087">
              <w:rPr>
                <w:lang w:val="sr-Latn-RS"/>
              </w:rPr>
              <w:t>.</w:t>
            </w:r>
          </w:p>
        </w:tc>
      </w:tr>
      <w:tr w:rsidR="005703B7" w:rsidRPr="00BB0087" w14:paraId="03110757" w14:textId="77777777" w:rsidTr="00F1574D">
        <w:trPr>
          <w:trHeight w:val="8522"/>
        </w:trPr>
        <w:tc>
          <w:tcPr>
            <w:tcW w:w="9010" w:type="dxa"/>
            <w:gridSpan w:val="3"/>
            <w:tcBorders>
              <w:bottom w:val="single" w:sz="4" w:space="0" w:color="auto"/>
            </w:tcBorders>
            <w:vAlign w:val="center"/>
          </w:tcPr>
          <w:p w14:paraId="7A064E85" w14:textId="16643672" w:rsidR="005703B7" w:rsidRPr="00BB0087" w:rsidRDefault="00915AE5" w:rsidP="00BB0087">
            <w:pPr>
              <w:spacing w:before="120" w:after="120" w:line="260" w:lineRule="atLeast"/>
              <w:rPr>
                <w:rFonts w:ascii="Verdana" w:hAnsi="Verdana"/>
                <w:b/>
                <w:color w:val="000000" w:themeColor="text1"/>
                <w:sz w:val="22"/>
                <w:szCs w:val="22"/>
                <w:lang w:val="sr-Latn-RS"/>
              </w:rPr>
            </w:pPr>
            <w:r w:rsidRPr="00BB0087">
              <w:rPr>
                <w:rFonts w:ascii="Verdana" w:hAnsi="Verdana"/>
                <w:b/>
                <w:color w:val="000000" w:themeColor="text1"/>
                <w:sz w:val="22"/>
                <w:szCs w:val="22"/>
                <w:lang w:val="sr-Latn-RS"/>
              </w:rPr>
              <w:lastRenderedPageBreak/>
              <w:t>Uputstvo za predavača</w:t>
            </w:r>
          </w:p>
          <w:p w14:paraId="071C12DB" w14:textId="10EFFD70" w:rsidR="000337E5" w:rsidRPr="00BB0087" w:rsidRDefault="00C84416" w:rsidP="00BB0087">
            <w:pPr>
              <w:spacing w:before="120" w:after="120" w:line="260" w:lineRule="atLeast"/>
              <w:jc w:val="both"/>
              <w:rPr>
                <w:rFonts w:ascii="Verdana" w:hAnsi="Verdana"/>
                <w:color w:val="000000" w:themeColor="text1"/>
                <w:sz w:val="18"/>
                <w:szCs w:val="18"/>
                <w:lang w:val="sr-Latn-RS"/>
              </w:rPr>
            </w:pPr>
            <w:r w:rsidRPr="00BB0087">
              <w:rPr>
                <w:rFonts w:ascii="Verdana" w:hAnsi="Verdana"/>
                <w:color w:val="000000" w:themeColor="text1"/>
                <w:sz w:val="18"/>
                <w:szCs w:val="18"/>
                <w:lang w:val="sr-Latn-RS"/>
              </w:rPr>
              <w:t>Sesija o elektronskim dokazima skraćena je u ovoj verziji kursa i polaznicima je priprem</w:t>
            </w:r>
            <w:r w:rsidR="00367229" w:rsidRPr="00BB0087">
              <w:rPr>
                <w:rFonts w:ascii="Verdana" w:hAnsi="Verdana"/>
                <w:color w:val="000000" w:themeColor="text1"/>
                <w:sz w:val="18"/>
                <w:szCs w:val="18"/>
                <w:lang w:val="sr-Latn-RS"/>
              </w:rPr>
              <w:t>ljen</w:t>
            </w:r>
            <w:r w:rsidRPr="00BB0087">
              <w:rPr>
                <w:rFonts w:ascii="Verdana" w:hAnsi="Verdana"/>
                <w:color w:val="000000" w:themeColor="text1"/>
                <w:sz w:val="18"/>
                <w:szCs w:val="18"/>
                <w:lang w:val="sr-Latn-RS"/>
              </w:rPr>
              <w:t xml:space="preserve"> materijal koji bi trebalo </w:t>
            </w:r>
            <w:r w:rsidR="00367229" w:rsidRPr="00BB0087">
              <w:rPr>
                <w:rFonts w:ascii="Verdana" w:hAnsi="Verdana"/>
                <w:color w:val="000000" w:themeColor="text1"/>
                <w:sz w:val="18"/>
                <w:szCs w:val="18"/>
                <w:lang w:val="sr-Latn-RS"/>
              </w:rPr>
              <w:t xml:space="preserve">da </w:t>
            </w:r>
            <w:r w:rsidRPr="00BB0087">
              <w:rPr>
                <w:rFonts w:ascii="Verdana" w:hAnsi="Verdana"/>
                <w:color w:val="000000" w:themeColor="text1"/>
                <w:sz w:val="18"/>
                <w:szCs w:val="18"/>
                <w:lang w:val="sr-Latn-RS"/>
              </w:rPr>
              <w:t>pročita</w:t>
            </w:r>
            <w:r w:rsidR="00367229" w:rsidRPr="00BB0087">
              <w:rPr>
                <w:rFonts w:ascii="Verdana" w:hAnsi="Verdana"/>
                <w:color w:val="000000" w:themeColor="text1"/>
                <w:sz w:val="18"/>
                <w:szCs w:val="18"/>
                <w:lang w:val="sr-Latn-RS"/>
              </w:rPr>
              <w:t>ju</w:t>
            </w:r>
            <w:r w:rsidRPr="00BB0087">
              <w:rPr>
                <w:rFonts w:ascii="Verdana" w:hAnsi="Verdana"/>
                <w:color w:val="000000" w:themeColor="text1"/>
                <w:sz w:val="18"/>
                <w:szCs w:val="18"/>
                <w:lang w:val="sr-Latn-RS"/>
              </w:rPr>
              <w:t xml:space="preserve"> pre početka kursa. Predavač može da ukratko proveri znanje polaznika na samom početku sesije kako bi video da li je pripremni materijal bio od koristi. To bi se moglo odvijati u vidu kviza. </w:t>
            </w:r>
            <w:r w:rsidR="00CE7DB5" w:rsidRPr="00BB0087">
              <w:rPr>
                <w:rFonts w:ascii="Verdana" w:hAnsi="Verdana"/>
                <w:color w:val="000000" w:themeColor="text1"/>
                <w:sz w:val="18"/>
                <w:szCs w:val="18"/>
                <w:lang w:val="sr-Latn-RS"/>
              </w:rPr>
              <w:t>S</w:t>
            </w:r>
            <w:r w:rsidRPr="00BB0087">
              <w:rPr>
                <w:rFonts w:ascii="Verdana" w:hAnsi="Verdana"/>
                <w:color w:val="000000" w:themeColor="text1"/>
                <w:sz w:val="18"/>
                <w:szCs w:val="18"/>
                <w:lang w:val="sr-Latn-RS"/>
              </w:rPr>
              <w:t xml:space="preserve">adržaj pripremnog </w:t>
            </w:r>
            <w:r w:rsidR="00CE7DB5" w:rsidRPr="00BB0087">
              <w:rPr>
                <w:rFonts w:ascii="Verdana" w:hAnsi="Verdana"/>
                <w:color w:val="000000" w:themeColor="text1"/>
                <w:sz w:val="18"/>
                <w:szCs w:val="18"/>
                <w:lang w:val="sr-Latn-RS"/>
              </w:rPr>
              <w:t xml:space="preserve">materijala predstavljen je polaznicima na različitim oblicima uređaja koji mogu sadržati elektronske dokaze. Predavač takođe može razmotriti mogućnost da nabavi </w:t>
            </w:r>
            <w:r w:rsidR="00367229" w:rsidRPr="00BB0087">
              <w:rPr>
                <w:rFonts w:ascii="Verdana" w:hAnsi="Verdana"/>
                <w:color w:val="000000" w:themeColor="text1"/>
                <w:sz w:val="18"/>
                <w:szCs w:val="18"/>
                <w:lang w:val="sr-Latn-RS"/>
              </w:rPr>
              <w:t>r</w:t>
            </w:r>
            <w:r w:rsidR="00CE7DB5" w:rsidRPr="00BB0087">
              <w:rPr>
                <w:rFonts w:ascii="Verdana" w:hAnsi="Verdana"/>
                <w:color w:val="000000" w:themeColor="text1"/>
                <w:sz w:val="18"/>
                <w:szCs w:val="18"/>
                <w:lang w:val="sr-Latn-RS"/>
              </w:rPr>
              <w:t>az</w:t>
            </w:r>
            <w:r w:rsidR="00367229" w:rsidRPr="00BB0087">
              <w:rPr>
                <w:rFonts w:ascii="Verdana" w:hAnsi="Verdana"/>
                <w:color w:val="000000" w:themeColor="text1"/>
                <w:sz w:val="18"/>
                <w:szCs w:val="18"/>
                <w:lang w:val="sr-Latn-RS"/>
              </w:rPr>
              <w:t>ne</w:t>
            </w:r>
            <w:r w:rsidR="00CE7DB5" w:rsidRPr="00BB0087">
              <w:rPr>
                <w:rFonts w:ascii="Verdana" w:hAnsi="Verdana"/>
                <w:color w:val="000000" w:themeColor="text1"/>
                <w:sz w:val="18"/>
                <w:szCs w:val="18"/>
                <w:lang w:val="sr-Latn-RS"/>
              </w:rPr>
              <w:t xml:space="preserve"> elektronsk</w:t>
            </w:r>
            <w:r w:rsidR="00367229" w:rsidRPr="00BB0087">
              <w:rPr>
                <w:rFonts w:ascii="Verdana" w:hAnsi="Verdana"/>
                <w:color w:val="000000" w:themeColor="text1"/>
                <w:sz w:val="18"/>
                <w:szCs w:val="18"/>
                <w:lang w:val="sr-Latn-RS"/>
              </w:rPr>
              <w:t>e</w:t>
            </w:r>
            <w:r w:rsidR="00CE7DB5" w:rsidRPr="00BB0087">
              <w:rPr>
                <w:rFonts w:ascii="Verdana" w:hAnsi="Verdana"/>
                <w:color w:val="000000" w:themeColor="text1"/>
                <w:sz w:val="18"/>
                <w:szCs w:val="18"/>
                <w:lang w:val="sr-Latn-RS"/>
              </w:rPr>
              <w:t xml:space="preserve"> uređaj</w:t>
            </w:r>
            <w:r w:rsidR="00367229" w:rsidRPr="00BB0087">
              <w:rPr>
                <w:rFonts w:ascii="Verdana" w:hAnsi="Verdana"/>
                <w:color w:val="000000" w:themeColor="text1"/>
                <w:sz w:val="18"/>
                <w:szCs w:val="18"/>
                <w:lang w:val="sr-Latn-RS"/>
              </w:rPr>
              <w:t>e</w:t>
            </w:r>
            <w:r w:rsidR="00CE7DB5" w:rsidRPr="00BB0087">
              <w:rPr>
                <w:rFonts w:ascii="Verdana" w:hAnsi="Verdana"/>
                <w:color w:val="000000" w:themeColor="text1"/>
                <w:sz w:val="18"/>
                <w:szCs w:val="18"/>
                <w:lang w:val="sr-Latn-RS"/>
              </w:rPr>
              <w:t xml:space="preserve"> od kojih neki mogu sadržati elektronske dokaze. Ako se ti uređaji podele polaznicima </w:t>
            </w:r>
            <w:r w:rsidR="000337E5" w:rsidRPr="00BB0087">
              <w:rPr>
                <w:rFonts w:ascii="Verdana" w:hAnsi="Verdana"/>
                <w:color w:val="000000" w:themeColor="text1"/>
                <w:sz w:val="18"/>
                <w:szCs w:val="18"/>
                <w:lang w:val="sr-Latn-RS"/>
              </w:rPr>
              <w:t xml:space="preserve">na početku </w:t>
            </w:r>
            <w:r w:rsidR="00CE7DB5" w:rsidRPr="00BB0087">
              <w:rPr>
                <w:rFonts w:ascii="Verdana" w:hAnsi="Verdana"/>
                <w:color w:val="000000" w:themeColor="text1"/>
                <w:sz w:val="18"/>
                <w:szCs w:val="18"/>
                <w:lang w:val="sr-Latn-RS"/>
              </w:rPr>
              <w:t>sesije</w:t>
            </w:r>
            <w:r w:rsidR="000337E5" w:rsidRPr="00BB0087">
              <w:rPr>
                <w:rFonts w:ascii="Verdana" w:hAnsi="Verdana"/>
                <w:color w:val="000000" w:themeColor="text1"/>
                <w:sz w:val="18"/>
                <w:szCs w:val="18"/>
                <w:lang w:val="sr-Latn-RS"/>
              </w:rPr>
              <w:t xml:space="preserve">, kako bi </w:t>
            </w:r>
            <w:r w:rsidR="00A32036" w:rsidRPr="00BB0087">
              <w:rPr>
                <w:rFonts w:ascii="Verdana" w:hAnsi="Verdana"/>
                <w:color w:val="000000" w:themeColor="text1"/>
                <w:sz w:val="18"/>
                <w:szCs w:val="18"/>
                <w:lang w:val="sr-Latn-RS"/>
              </w:rPr>
              <w:t>ih oni</w:t>
            </w:r>
            <w:r w:rsidR="0098003E" w:rsidRPr="00BB0087">
              <w:rPr>
                <w:rFonts w:ascii="Verdana" w:hAnsi="Verdana"/>
                <w:color w:val="000000" w:themeColor="text1"/>
                <w:sz w:val="18"/>
                <w:szCs w:val="18"/>
                <w:lang w:val="sr-Latn-RS"/>
              </w:rPr>
              <w:t xml:space="preserve"> predavali</w:t>
            </w:r>
            <w:r w:rsidR="000337E5" w:rsidRPr="00BB0087">
              <w:rPr>
                <w:rFonts w:ascii="Verdana" w:hAnsi="Verdana"/>
                <w:color w:val="000000" w:themeColor="text1"/>
                <w:sz w:val="18"/>
                <w:szCs w:val="18"/>
                <w:lang w:val="sr-Latn-RS"/>
              </w:rPr>
              <w:t xml:space="preserve"> iz ruke u ruku</w:t>
            </w:r>
            <w:r w:rsidR="00367229" w:rsidRPr="00BB0087">
              <w:rPr>
                <w:rFonts w:ascii="Verdana" w:hAnsi="Verdana"/>
                <w:color w:val="000000" w:themeColor="text1"/>
                <w:sz w:val="18"/>
                <w:szCs w:val="18"/>
                <w:lang w:val="sr-Latn-RS"/>
              </w:rPr>
              <w:t xml:space="preserve"> i komentarisali</w:t>
            </w:r>
            <w:r w:rsidR="000337E5" w:rsidRPr="00BB0087">
              <w:rPr>
                <w:rFonts w:ascii="Verdana" w:hAnsi="Verdana"/>
                <w:color w:val="000000" w:themeColor="text1"/>
                <w:sz w:val="18"/>
                <w:szCs w:val="18"/>
                <w:lang w:val="sr-Latn-RS"/>
              </w:rPr>
              <w:t>, to će omogućiti da se proceni</w:t>
            </w:r>
            <w:r w:rsidR="00E274B2" w:rsidRPr="00BB0087">
              <w:rPr>
                <w:rFonts w:ascii="Verdana" w:hAnsi="Verdana"/>
                <w:color w:val="000000" w:themeColor="text1"/>
                <w:sz w:val="18"/>
                <w:szCs w:val="18"/>
                <w:lang w:val="sr-Latn-RS"/>
              </w:rPr>
              <w:t xml:space="preserve"> </w:t>
            </w:r>
            <w:r w:rsidR="000337E5" w:rsidRPr="00BB0087">
              <w:rPr>
                <w:rFonts w:ascii="Verdana" w:hAnsi="Verdana"/>
                <w:color w:val="000000" w:themeColor="text1"/>
                <w:sz w:val="18"/>
                <w:szCs w:val="18"/>
                <w:lang w:val="sr-Latn-RS"/>
              </w:rPr>
              <w:t>u kojoj su meri polaznici</w:t>
            </w:r>
            <w:r w:rsidR="00E274B2" w:rsidRPr="00BB0087">
              <w:rPr>
                <w:rFonts w:ascii="Verdana" w:hAnsi="Verdana"/>
                <w:color w:val="000000" w:themeColor="text1"/>
                <w:sz w:val="18"/>
                <w:szCs w:val="18"/>
                <w:lang w:val="sr-Latn-RS"/>
              </w:rPr>
              <w:t xml:space="preserve"> </w:t>
            </w:r>
            <w:r w:rsidR="000337E5" w:rsidRPr="00BB0087">
              <w:rPr>
                <w:rFonts w:ascii="Verdana" w:hAnsi="Verdana"/>
                <w:color w:val="000000" w:themeColor="text1"/>
                <w:sz w:val="18"/>
                <w:szCs w:val="18"/>
                <w:lang w:val="sr-Latn-RS"/>
              </w:rPr>
              <w:t xml:space="preserve">usvojili informacije iz pripremnog materijala. Kao i kada je reč o drugim sesijama, i ova sadrži dodatne informacije </w:t>
            </w:r>
            <w:r w:rsidR="00E274B2" w:rsidRPr="00BB0087">
              <w:rPr>
                <w:rFonts w:ascii="Verdana" w:hAnsi="Verdana"/>
                <w:color w:val="000000" w:themeColor="text1"/>
                <w:sz w:val="18"/>
                <w:szCs w:val="18"/>
                <w:lang w:val="sr-Latn-RS"/>
              </w:rPr>
              <w:t>u</w:t>
            </w:r>
            <w:r w:rsidR="000337E5" w:rsidRPr="00BB0087">
              <w:rPr>
                <w:rFonts w:ascii="Verdana" w:hAnsi="Verdana"/>
                <w:color w:val="000000" w:themeColor="text1"/>
                <w:sz w:val="18"/>
                <w:szCs w:val="18"/>
                <w:lang w:val="sr-Latn-RS"/>
              </w:rPr>
              <w:t xml:space="preserve"> napomenama ispod slajdova koje služe kao pomoćno sredstvo</w:t>
            </w:r>
            <w:r w:rsidR="00E274B2" w:rsidRPr="00BB0087">
              <w:rPr>
                <w:rFonts w:ascii="Verdana" w:hAnsi="Verdana"/>
                <w:color w:val="000000" w:themeColor="text1"/>
                <w:sz w:val="18"/>
                <w:szCs w:val="18"/>
                <w:lang w:val="sr-Latn-RS"/>
              </w:rPr>
              <w:t xml:space="preserve"> </w:t>
            </w:r>
            <w:r w:rsidR="000337E5" w:rsidRPr="00BB0087">
              <w:rPr>
                <w:rFonts w:ascii="Verdana" w:hAnsi="Verdana"/>
                <w:color w:val="000000" w:themeColor="text1"/>
                <w:sz w:val="18"/>
                <w:szCs w:val="18"/>
                <w:lang w:val="sr-Latn-RS"/>
              </w:rPr>
              <w:t xml:space="preserve">za predavača. </w:t>
            </w:r>
          </w:p>
          <w:p w14:paraId="442427EA" w14:textId="07D4C1B0" w:rsidR="000337E5" w:rsidRPr="00BB0087" w:rsidRDefault="000337E5" w:rsidP="00BB0087">
            <w:pPr>
              <w:spacing w:before="120" w:after="120" w:line="260" w:lineRule="atLeast"/>
              <w:jc w:val="both"/>
              <w:rPr>
                <w:rFonts w:ascii="Verdana" w:hAnsi="Verdana"/>
                <w:color w:val="000000" w:themeColor="text1"/>
                <w:sz w:val="18"/>
                <w:szCs w:val="18"/>
                <w:lang w:val="sr-Latn-RS"/>
              </w:rPr>
            </w:pPr>
            <w:r w:rsidRPr="00BB0087">
              <w:rPr>
                <w:rFonts w:ascii="Verdana" w:hAnsi="Verdana"/>
                <w:color w:val="000000" w:themeColor="text1"/>
                <w:sz w:val="18"/>
                <w:szCs w:val="18"/>
                <w:lang w:val="sr-Latn-RS"/>
              </w:rPr>
              <w:t>Slajdov</w:t>
            </w:r>
            <w:r w:rsidR="00367229" w:rsidRPr="00BB0087">
              <w:rPr>
                <w:rFonts w:ascii="Verdana" w:hAnsi="Verdana"/>
                <w:color w:val="000000" w:themeColor="text1"/>
                <w:sz w:val="18"/>
                <w:szCs w:val="18"/>
                <w:lang w:val="sr-Latn-RS"/>
              </w:rPr>
              <w:t>i</w:t>
            </w:r>
            <w:r w:rsidRPr="00BB0087">
              <w:rPr>
                <w:rFonts w:ascii="Verdana" w:hAnsi="Verdana"/>
                <w:color w:val="000000" w:themeColor="text1"/>
                <w:sz w:val="18"/>
                <w:szCs w:val="18"/>
                <w:lang w:val="sr-Latn-RS"/>
              </w:rPr>
              <w:t xml:space="preserve"> koji čine pripremni materijal </w:t>
            </w:r>
            <w:r w:rsidR="00367229" w:rsidRPr="00BB0087">
              <w:rPr>
                <w:rFonts w:ascii="Verdana" w:hAnsi="Verdana"/>
                <w:color w:val="000000" w:themeColor="text1"/>
                <w:sz w:val="18"/>
                <w:szCs w:val="18"/>
                <w:lang w:val="sr-Latn-RS"/>
              </w:rPr>
              <w:t>spremljeni su za</w:t>
            </w:r>
            <w:r w:rsidRPr="00BB0087">
              <w:rPr>
                <w:rFonts w:ascii="Verdana" w:hAnsi="Verdana"/>
                <w:color w:val="000000" w:themeColor="text1"/>
                <w:sz w:val="18"/>
                <w:szCs w:val="18"/>
                <w:lang w:val="sr-Latn-RS"/>
              </w:rPr>
              <w:t xml:space="preserve"> predavač</w:t>
            </w:r>
            <w:r w:rsidR="00367229" w:rsidRPr="00BB0087">
              <w:rPr>
                <w:rFonts w:ascii="Verdana" w:hAnsi="Verdana"/>
                <w:color w:val="000000" w:themeColor="text1"/>
                <w:sz w:val="18"/>
                <w:szCs w:val="18"/>
                <w:lang w:val="sr-Latn-RS"/>
              </w:rPr>
              <w:t>a</w:t>
            </w:r>
            <w:r w:rsidRPr="00BB0087">
              <w:rPr>
                <w:rFonts w:ascii="Verdana" w:hAnsi="Verdana"/>
                <w:color w:val="000000" w:themeColor="text1"/>
                <w:sz w:val="18"/>
                <w:szCs w:val="18"/>
                <w:lang w:val="sr-Latn-RS"/>
              </w:rPr>
              <w:t xml:space="preserve">, koji </w:t>
            </w:r>
            <w:r w:rsidR="00E274B2" w:rsidRPr="00BB0087">
              <w:rPr>
                <w:rFonts w:ascii="Verdana" w:hAnsi="Verdana"/>
                <w:color w:val="000000" w:themeColor="text1"/>
                <w:sz w:val="18"/>
                <w:szCs w:val="18"/>
                <w:lang w:val="sr-Latn-RS"/>
              </w:rPr>
              <w:t xml:space="preserve">ih </w:t>
            </w:r>
            <w:r w:rsidRPr="00BB0087">
              <w:rPr>
                <w:rFonts w:ascii="Verdana" w:hAnsi="Verdana"/>
                <w:color w:val="000000" w:themeColor="text1"/>
                <w:sz w:val="18"/>
                <w:szCs w:val="18"/>
                <w:lang w:val="sr-Latn-RS"/>
              </w:rPr>
              <w:t>može iskoristi</w:t>
            </w:r>
            <w:r w:rsidR="00E274B2" w:rsidRPr="00BB0087">
              <w:rPr>
                <w:rFonts w:ascii="Verdana" w:hAnsi="Verdana"/>
                <w:color w:val="000000" w:themeColor="text1"/>
                <w:sz w:val="18"/>
                <w:szCs w:val="18"/>
                <w:lang w:val="sr-Latn-RS"/>
              </w:rPr>
              <w:t>ti</w:t>
            </w:r>
            <w:r w:rsidRPr="00BB0087">
              <w:rPr>
                <w:rFonts w:ascii="Verdana" w:hAnsi="Verdana"/>
                <w:color w:val="000000" w:themeColor="text1"/>
                <w:sz w:val="18"/>
                <w:szCs w:val="18"/>
                <w:lang w:val="sr-Latn-RS"/>
              </w:rPr>
              <w:t xml:space="preserve"> kako bi pojačao efekat informacija datih na sesiji ili kako bi ih prikazao dok bude odgovarao na pitanja. Nije zamisao da se ti slajdovi koriste kao glavno nastavno sredstvo tokom predavanja. </w:t>
            </w:r>
          </w:p>
          <w:p w14:paraId="5EFF4BEF" w14:textId="023C59FA" w:rsidR="004B7351" w:rsidRPr="00BB0087" w:rsidRDefault="000337E5" w:rsidP="00BB0087">
            <w:pPr>
              <w:spacing w:before="120" w:after="120" w:line="260" w:lineRule="atLeast"/>
              <w:jc w:val="both"/>
              <w:rPr>
                <w:rFonts w:ascii="Verdana" w:hAnsi="Verdana"/>
                <w:sz w:val="18"/>
                <w:szCs w:val="18"/>
                <w:lang w:val="sr-Latn-RS"/>
              </w:rPr>
            </w:pPr>
            <w:r w:rsidRPr="00BB0087">
              <w:rPr>
                <w:rFonts w:ascii="Verdana" w:hAnsi="Verdana"/>
                <w:color w:val="000000" w:themeColor="text1"/>
                <w:sz w:val="18"/>
                <w:szCs w:val="18"/>
                <w:lang w:val="sr-Latn-RS"/>
              </w:rPr>
              <w:t>U lekciji o pretraživanju i zapleni elektronskih dokaza postoje dodatne informacije. One se kreću u rasponu od pripreme i planiranja do opreme koju treba koristiti i stvarne zaplene materijala uz sva razmatranja koja to povlači za sobom. Zavisno od</w:t>
            </w:r>
            <w:r w:rsidR="004B7351" w:rsidRPr="00BB0087">
              <w:rPr>
                <w:rFonts w:ascii="Verdana" w:hAnsi="Verdana"/>
                <w:color w:val="000000" w:themeColor="text1"/>
                <w:sz w:val="18"/>
                <w:szCs w:val="18"/>
                <w:lang w:val="sr-Latn-RS"/>
              </w:rPr>
              <w:t xml:space="preserve"> </w:t>
            </w:r>
            <w:r w:rsidRPr="00BB0087">
              <w:rPr>
                <w:rFonts w:ascii="Verdana" w:hAnsi="Verdana"/>
                <w:color w:val="000000" w:themeColor="text1"/>
                <w:sz w:val="18"/>
                <w:szCs w:val="18"/>
                <w:lang w:val="sr-Latn-RS"/>
              </w:rPr>
              <w:t xml:space="preserve">pravnog sistema u zemljama iz kojih dolaze polaznici to će biti u većoj ili manjoj meri zanimljivo. U jurisdikcijama u kojima </w:t>
            </w:r>
            <w:r w:rsidR="007E07B1" w:rsidRPr="00BB0087">
              <w:rPr>
                <w:rFonts w:ascii="Verdana" w:hAnsi="Verdana"/>
                <w:color w:val="000000" w:themeColor="text1"/>
                <w:sz w:val="18"/>
                <w:szCs w:val="18"/>
                <w:lang w:val="sr-Latn-RS"/>
              </w:rPr>
              <w:t xml:space="preserve">je unutrašnji pravni </w:t>
            </w:r>
            <w:r w:rsidRPr="00BB0087">
              <w:rPr>
                <w:rFonts w:ascii="Verdana" w:hAnsi="Verdana"/>
                <w:color w:val="000000" w:themeColor="text1"/>
                <w:sz w:val="18"/>
                <w:szCs w:val="18"/>
                <w:lang w:val="sr-Latn-RS"/>
              </w:rPr>
              <w:t>poredak</w:t>
            </w:r>
            <w:r w:rsidR="00E274B2" w:rsidRPr="00BB0087">
              <w:rPr>
                <w:rFonts w:ascii="Verdana" w:hAnsi="Verdana"/>
                <w:color w:val="000000" w:themeColor="text1"/>
                <w:sz w:val="18"/>
                <w:szCs w:val="18"/>
                <w:lang w:val="sr-Latn-RS"/>
              </w:rPr>
              <w:t xml:space="preserve"> </w:t>
            </w:r>
            <w:r w:rsidR="007E07B1" w:rsidRPr="00BB0087">
              <w:rPr>
                <w:rFonts w:ascii="Verdana" w:hAnsi="Verdana"/>
                <w:color w:val="000000" w:themeColor="text1"/>
                <w:sz w:val="18"/>
                <w:szCs w:val="18"/>
                <w:lang w:val="sr-Latn-RS"/>
              </w:rPr>
              <w:t>zasnovan na precedentnom pravu, sudije nemaju nikakvu ulogu u istrazi ni u bilo kakvim srodnim aktivnostima kao što su pretraživanje i zaplena podataka. Međutim, oni u svakom slučaju moraju da shvate dokaze u trenutku kada im ti dokazi budu predočeni, pa je stoga primereno razmotriti sva ta pitanja. U drugim jurisdikcijama, sudija može imati određenu ulogu u istrazi, a tužioci mogu snositi zakonsku odgovornost za istragu. U takvim slučajevima naročito je važno pitanje pretraživanja i zaplene. Svaki predavač je odgovoran za to da</w:t>
            </w:r>
            <w:r w:rsidR="00E274B2" w:rsidRPr="00BB0087">
              <w:rPr>
                <w:rFonts w:ascii="Verdana" w:hAnsi="Verdana"/>
                <w:color w:val="000000" w:themeColor="text1"/>
                <w:sz w:val="18"/>
                <w:szCs w:val="18"/>
                <w:lang w:val="sr-Latn-RS"/>
              </w:rPr>
              <w:t xml:space="preserve"> </w:t>
            </w:r>
            <w:r w:rsidR="007E07B1" w:rsidRPr="00BB0087">
              <w:rPr>
                <w:rFonts w:ascii="Verdana" w:hAnsi="Verdana"/>
                <w:color w:val="000000" w:themeColor="text1"/>
                <w:sz w:val="18"/>
                <w:szCs w:val="18"/>
                <w:lang w:val="sr-Latn-RS"/>
              </w:rPr>
              <w:t>utvrdi kakvu ulogu na tom planu u svojim jurisdikcijama imaju polaznici i da im na odgovarajući način prilagodi nastavni materijal. Predavač takođe treba da razmotri ukupno vreme koje ima na raspolaganju i odluči na koji će deo materijala staviti naglasak, imajući na umu opšti kontekst nastavnih ciljeva, koji čine osnov cele lekcije.</w:t>
            </w:r>
            <w:r w:rsidR="00E274B2" w:rsidRPr="00BB0087">
              <w:rPr>
                <w:rFonts w:ascii="Verdana" w:hAnsi="Verdana"/>
                <w:color w:val="000000" w:themeColor="text1"/>
                <w:sz w:val="18"/>
                <w:szCs w:val="18"/>
                <w:lang w:val="sr-Latn-RS"/>
              </w:rPr>
              <w:t xml:space="preserve"> </w:t>
            </w:r>
          </w:p>
        </w:tc>
      </w:tr>
      <w:tr w:rsidR="005A4E47" w:rsidRPr="00BB0087"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2BC80852" w:rsidR="005A4E47" w:rsidRPr="00BB0087" w:rsidRDefault="007E07B1" w:rsidP="00BB0087">
            <w:pPr>
              <w:spacing w:before="120" w:after="120" w:line="260" w:lineRule="atLeast"/>
              <w:rPr>
                <w:rFonts w:ascii="Verdana" w:hAnsi="Verdana"/>
                <w:b/>
                <w:sz w:val="28"/>
                <w:szCs w:val="28"/>
                <w:lang w:val="sr-Latn-RS"/>
              </w:rPr>
            </w:pPr>
            <w:r w:rsidRPr="00BB0087">
              <w:rPr>
                <w:rFonts w:ascii="Verdana" w:hAnsi="Verdana"/>
                <w:b/>
                <w:sz w:val="28"/>
                <w:szCs w:val="28"/>
                <w:lang w:val="sr-Latn-RS"/>
              </w:rPr>
              <w:t>Sadržaj lekcije</w:t>
            </w:r>
          </w:p>
        </w:tc>
      </w:tr>
      <w:tr w:rsidR="00F1574D" w:rsidRPr="00BB0087" w14:paraId="57CC7AA4" w14:textId="77777777" w:rsidTr="00F1574D">
        <w:trPr>
          <w:trHeight w:val="629"/>
        </w:trPr>
        <w:tc>
          <w:tcPr>
            <w:tcW w:w="1525" w:type="dxa"/>
            <w:shd w:val="clear" w:color="auto" w:fill="D9E2F3" w:themeFill="accent1" w:themeFillTint="33"/>
            <w:vAlign w:val="center"/>
          </w:tcPr>
          <w:p w14:paraId="4538C338" w14:textId="3F1CBF5E" w:rsidR="00D82C18" w:rsidRPr="00BB0087" w:rsidRDefault="007E07B1" w:rsidP="00BB0087">
            <w:pPr>
              <w:spacing w:before="120" w:after="120" w:line="260" w:lineRule="atLeast"/>
              <w:jc w:val="center"/>
              <w:rPr>
                <w:rFonts w:ascii="Verdana" w:hAnsi="Verdana"/>
                <w:b/>
                <w:sz w:val="22"/>
                <w:szCs w:val="22"/>
                <w:lang w:val="sr-Latn-RS"/>
              </w:rPr>
            </w:pPr>
            <w:r w:rsidRPr="00BB0087">
              <w:rPr>
                <w:rFonts w:ascii="Verdana" w:hAnsi="Verdana"/>
                <w:b/>
                <w:sz w:val="22"/>
                <w:szCs w:val="22"/>
                <w:lang w:val="sr-Latn-RS"/>
              </w:rPr>
              <w:t>Brojevi slajdova</w:t>
            </w:r>
          </w:p>
        </w:tc>
        <w:tc>
          <w:tcPr>
            <w:tcW w:w="7485" w:type="dxa"/>
            <w:gridSpan w:val="2"/>
            <w:shd w:val="clear" w:color="auto" w:fill="D9E2F3" w:themeFill="accent1" w:themeFillTint="33"/>
            <w:vAlign w:val="center"/>
          </w:tcPr>
          <w:p w14:paraId="2DA616FC" w14:textId="3765FC34" w:rsidR="00D82C18" w:rsidRPr="00BB0087" w:rsidRDefault="007E07B1" w:rsidP="00BB0087">
            <w:pPr>
              <w:spacing w:before="120" w:after="120" w:line="260" w:lineRule="atLeast"/>
              <w:rPr>
                <w:rFonts w:ascii="Verdana" w:hAnsi="Verdana"/>
                <w:b/>
                <w:sz w:val="22"/>
                <w:szCs w:val="22"/>
                <w:lang w:val="sr-Latn-RS"/>
              </w:rPr>
            </w:pPr>
            <w:r w:rsidRPr="00BB0087">
              <w:rPr>
                <w:rFonts w:ascii="Verdana" w:hAnsi="Verdana"/>
                <w:b/>
                <w:sz w:val="22"/>
                <w:szCs w:val="22"/>
                <w:lang w:val="sr-Latn-RS"/>
              </w:rPr>
              <w:t>Sadržaj</w:t>
            </w:r>
          </w:p>
        </w:tc>
      </w:tr>
      <w:tr w:rsidR="00F1574D" w:rsidRPr="00BB0087" w14:paraId="11A12D7E" w14:textId="77777777" w:rsidTr="00F1574D">
        <w:trPr>
          <w:trHeight w:val="3455"/>
        </w:trPr>
        <w:tc>
          <w:tcPr>
            <w:tcW w:w="1525" w:type="dxa"/>
            <w:vAlign w:val="center"/>
          </w:tcPr>
          <w:p w14:paraId="67083237" w14:textId="6054709C" w:rsidR="00D82C18" w:rsidRPr="00BB0087" w:rsidRDefault="003630ED" w:rsidP="00BB0087">
            <w:pPr>
              <w:spacing w:before="120" w:after="120" w:line="260" w:lineRule="atLeast"/>
              <w:jc w:val="center"/>
              <w:rPr>
                <w:rFonts w:ascii="Verdana" w:hAnsi="Verdana"/>
                <w:sz w:val="18"/>
                <w:szCs w:val="18"/>
                <w:lang w:val="sr-Latn-RS"/>
              </w:rPr>
            </w:pPr>
            <w:r w:rsidRPr="00BB0087">
              <w:rPr>
                <w:rFonts w:ascii="Verdana" w:hAnsi="Verdana"/>
                <w:sz w:val="18"/>
                <w:szCs w:val="18"/>
                <w:lang w:val="sr-Latn-RS"/>
              </w:rPr>
              <w:t>1</w:t>
            </w:r>
            <w:r w:rsidR="0019241C" w:rsidRPr="00BB0087">
              <w:rPr>
                <w:rFonts w:ascii="Verdana" w:hAnsi="Verdana"/>
                <w:sz w:val="18"/>
                <w:szCs w:val="18"/>
                <w:lang w:val="sr-Latn-RS"/>
              </w:rPr>
              <w:t>−</w:t>
            </w:r>
            <w:r w:rsidR="00C70C5C" w:rsidRPr="00BB0087">
              <w:rPr>
                <w:rFonts w:ascii="Verdana" w:hAnsi="Verdana"/>
                <w:sz w:val="18"/>
                <w:szCs w:val="18"/>
                <w:lang w:val="sr-Latn-RS"/>
              </w:rPr>
              <w:t>4</w:t>
            </w:r>
            <w:r w:rsidR="0019241C" w:rsidRPr="00BB0087">
              <w:rPr>
                <w:rFonts w:ascii="Verdana" w:hAnsi="Verdana"/>
                <w:sz w:val="18"/>
                <w:szCs w:val="18"/>
                <w:lang w:val="sr-Latn-RS"/>
              </w:rPr>
              <w:t>.</w:t>
            </w:r>
          </w:p>
          <w:p w14:paraId="5A89CF27" w14:textId="2B00C00D" w:rsidR="00F1574D" w:rsidRPr="00BB0087" w:rsidRDefault="007E07B1" w:rsidP="00BB0087">
            <w:pPr>
              <w:spacing w:before="120" w:after="120" w:line="260" w:lineRule="atLeast"/>
              <w:jc w:val="center"/>
              <w:rPr>
                <w:rFonts w:ascii="Verdana" w:hAnsi="Verdana"/>
                <w:sz w:val="18"/>
                <w:szCs w:val="18"/>
                <w:lang w:val="sr-Latn-RS"/>
              </w:rPr>
            </w:pPr>
            <w:r w:rsidRPr="00BB0087">
              <w:rPr>
                <w:rFonts w:ascii="Verdana" w:hAnsi="Verdana"/>
                <w:sz w:val="18"/>
                <w:szCs w:val="18"/>
                <w:lang w:val="sr-Latn-RS"/>
              </w:rPr>
              <w:t>Obavezni slajdovi</w:t>
            </w:r>
          </w:p>
        </w:tc>
        <w:tc>
          <w:tcPr>
            <w:tcW w:w="7485" w:type="dxa"/>
            <w:gridSpan w:val="2"/>
            <w:vAlign w:val="center"/>
          </w:tcPr>
          <w:p w14:paraId="36345B59" w14:textId="64C3FFC2" w:rsidR="00556D69" w:rsidRPr="00BB0087" w:rsidRDefault="005E48D4" w:rsidP="00BB0087">
            <w:pPr>
              <w:spacing w:before="120" w:after="120" w:line="260" w:lineRule="atLeast"/>
              <w:jc w:val="both"/>
              <w:rPr>
                <w:rFonts w:ascii="Verdana" w:hAnsi="Verdana"/>
                <w:color w:val="000000" w:themeColor="text1"/>
                <w:sz w:val="18"/>
                <w:szCs w:val="18"/>
                <w:lang w:val="sr-Latn-RS"/>
              </w:rPr>
            </w:pPr>
            <w:r w:rsidRPr="00BB0087">
              <w:rPr>
                <w:rFonts w:ascii="Verdana" w:hAnsi="Verdana"/>
                <w:color w:val="000000" w:themeColor="text1"/>
                <w:sz w:val="18"/>
                <w:szCs w:val="18"/>
                <w:lang w:val="sr-Latn-RS"/>
              </w:rPr>
              <w:t>Slajdovi na samom početku predstavljaju uvod u sesiju i sadrže agendu i ciljeve sesije. Predavač treba da se postara da oni budu ispravljeni tamo gde se donese odluka da se određeni set slajdova isključi iz razmatranja</w:t>
            </w:r>
            <w:r w:rsidR="00556D69" w:rsidRPr="00BB0087">
              <w:rPr>
                <w:rFonts w:ascii="Verdana" w:hAnsi="Verdana"/>
                <w:color w:val="000000" w:themeColor="text1"/>
                <w:sz w:val="18"/>
                <w:szCs w:val="18"/>
                <w:lang w:val="sr-Latn-RS"/>
              </w:rPr>
              <w:t>.</w:t>
            </w:r>
          </w:p>
        </w:tc>
      </w:tr>
      <w:tr w:rsidR="00F1574D" w:rsidRPr="00BB0087" w14:paraId="65F07CB5" w14:textId="77777777" w:rsidTr="00F1574D">
        <w:trPr>
          <w:trHeight w:val="1880"/>
        </w:trPr>
        <w:tc>
          <w:tcPr>
            <w:tcW w:w="1525" w:type="dxa"/>
            <w:vAlign w:val="center"/>
          </w:tcPr>
          <w:p w14:paraId="56AF6365" w14:textId="33F028A4" w:rsidR="00D82C18" w:rsidRPr="00BB0087" w:rsidRDefault="00C70C5C" w:rsidP="00BB0087">
            <w:pPr>
              <w:spacing w:before="120" w:after="120" w:line="260" w:lineRule="atLeast"/>
              <w:jc w:val="center"/>
              <w:rPr>
                <w:rFonts w:ascii="Verdana" w:hAnsi="Verdana"/>
                <w:sz w:val="18"/>
                <w:szCs w:val="18"/>
                <w:lang w:val="sr-Latn-RS"/>
              </w:rPr>
            </w:pPr>
            <w:r w:rsidRPr="00BB0087">
              <w:rPr>
                <w:rFonts w:ascii="Verdana" w:hAnsi="Verdana"/>
                <w:sz w:val="18"/>
                <w:szCs w:val="18"/>
                <w:lang w:val="sr-Latn-RS"/>
              </w:rPr>
              <w:lastRenderedPageBreak/>
              <w:t>5</w:t>
            </w:r>
            <w:r w:rsidR="0019241C" w:rsidRPr="00BB0087">
              <w:rPr>
                <w:rFonts w:ascii="Verdana" w:hAnsi="Verdana"/>
                <w:sz w:val="18"/>
                <w:szCs w:val="18"/>
                <w:lang w:val="sr-Latn-RS"/>
              </w:rPr>
              <w:t>−</w:t>
            </w:r>
            <w:r w:rsidR="00556D69" w:rsidRPr="00BB0087">
              <w:rPr>
                <w:rFonts w:ascii="Verdana" w:hAnsi="Verdana"/>
                <w:sz w:val="18"/>
                <w:szCs w:val="18"/>
                <w:lang w:val="sr-Latn-RS"/>
              </w:rPr>
              <w:t>1</w:t>
            </w:r>
            <w:r w:rsidR="00E77721" w:rsidRPr="00BB0087">
              <w:rPr>
                <w:rFonts w:ascii="Verdana" w:hAnsi="Verdana"/>
                <w:sz w:val="18"/>
                <w:szCs w:val="18"/>
                <w:lang w:val="sr-Latn-RS"/>
              </w:rPr>
              <w:t>7</w:t>
            </w:r>
            <w:r w:rsidR="0019241C" w:rsidRPr="00BB0087">
              <w:rPr>
                <w:rFonts w:ascii="Verdana" w:hAnsi="Verdana"/>
                <w:sz w:val="18"/>
                <w:szCs w:val="18"/>
                <w:lang w:val="sr-Latn-RS"/>
              </w:rPr>
              <w:t>.</w:t>
            </w:r>
          </w:p>
          <w:p w14:paraId="6F5AEB2D" w14:textId="7E087BC3" w:rsidR="00F1574D" w:rsidRPr="00BB0087" w:rsidRDefault="005E48D4" w:rsidP="00BB0087">
            <w:pPr>
              <w:spacing w:before="120" w:after="120" w:line="260" w:lineRule="atLeast"/>
              <w:jc w:val="center"/>
              <w:rPr>
                <w:rFonts w:ascii="Verdana" w:hAnsi="Verdana"/>
                <w:sz w:val="18"/>
                <w:szCs w:val="18"/>
                <w:lang w:val="sr-Latn-RS"/>
              </w:rPr>
            </w:pPr>
            <w:r w:rsidRPr="00BB0087">
              <w:rPr>
                <w:rFonts w:ascii="Verdana" w:hAnsi="Verdana"/>
                <w:sz w:val="18"/>
                <w:szCs w:val="18"/>
                <w:lang w:val="sr-Latn-RS"/>
              </w:rPr>
              <w:t>Važni slajdovi</w:t>
            </w:r>
          </w:p>
        </w:tc>
        <w:tc>
          <w:tcPr>
            <w:tcW w:w="7485" w:type="dxa"/>
            <w:gridSpan w:val="2"/>
            <w:vAlign w:val="center"/>
          </w:tcPr>
          <w:p w14:paraId="018FED92" w14:textId="24FC5EAD" w:rsidR="006F188D" w:rsidRPr="00BB0087" w:rsidRDefault="005E48D4" w:rsidP="00BB0087">
            <w:pPr>
              <w:pStyle w:val="Subtitle"/>
              <w:spacing w:before="120" w:line="260" w:lineRule="atLeast"/>
              <w:rPr>
                <w:rFonts w:ascii="Verdana" w:eastAsia="Times New Roman" w:hAnsi="Verdana"/>
                <w:lang w:val="sr-Latn-RS"/>
              </w:rPr>
            </w:pPr>
            <w:r w:rsidRPr="00BB0087">
              <w:rPr>
                <w:rFonts w:ascii="Verdana" w:eastAsia="Times New Roman" w:hAnsi="Verdana"/>
                <w:lang w:val="sr-Latn-RS"/>
              </w:rPr>
              <w:t>U ovim slajdovima naveden</w:t>
            </w:r>
            <w:r w:rsidR="0019241C" w:rsidRPr="00BB0087">
              <w:rPr>
                <w:rFonts w:ascii="Verdana" w:eastAsia="Times New Roman" w:hAnsi="Verdana"/>
                <w:lang w:val="sr-Latn-RS"/>
              </w:rPr>
              <w:t>e</w:t>
            </w:r>
            <w:r w:rsidRPr="00BB0087">
              <w:rPr>
                <w:rFonts w:ascii="Verdana" w:eastAsia="Times New Roman" w:hAnsi="Verdana"/>
                <w:lang w:val="sr-Latn-RS"/>
              </w:rPr>
              <w:t xml:space="preserve"> su definicije dokaza i elektronskih dokaza. U izvesnoj meri ti slajdovi treba da posluže i kao podsetnik na informacije sadržane u pripremnim materijalima. U njima se takođe objašnjavaju</w:t>
            </w:r>
            <w:r w:rsidR="006F188D" w:rsidRPr="00BB0087">
              <w:rPr>
                <w:rFonts w:ascii="Verdana" w:eastAsia="Times New Roman" w:hAnsi="Verdana"/>
                <w:lang w:val="sr-Latn-RS"/>
              </w:rPr>
              <w:t xml:space="preserve"> i neke od osnovnih karakteristika podataka – i navodi se zašto se toliko razlikuje rukovanje elektronskim dokazima od</w:t>
            </w:r>
            <w:r w:rsidR="00E274B2" w:rsidRPr="00BB0087">
              <w:rPr>
                <w:rFonts w:ascii="Verdana" w:eastAsia="Times New Roman" w:hAnsi="Verdana"/>
                <w:lang w:val="sr-Latn-RS"/>
              </w:rPr>
              <w:t xml:space="preserve"> </w:t>
            </w:r>
            <w:r w:rsidR="006F188D" w:rsidRPr="00BB0087">
              <w:rPr>
                <w:rFonts w:ascii="Verdana" w:eastAsia="Times New Roman" w:hAnsi="Verdana"/>
                <w:lang w:val="sr-Latn-RS"/>
              </w:rPr>
              <w:t xml:space="preserve">rukovanja drugim dokazima. </w:t>
            </w:r>
          </w:p>
          <w:p w14:paraId="3937227B" w14:textId="508D1B5D" w:rsidR="000E2A6B" w:rsidRPr="00BB0087" w:rsidRDefault="006F188D" w:rsidP="00BB0087">
            <w:pPr>
              <w:pStyle w:val="Subtitle"/>
              <w:spacing w:before="120" w:line="260" w:lineRule="atLeast"/>
              <w:rPr>
                <w:rFonts w:ascii="Verdana" w:hAnsi="Verdana"/>
                <w:szCs w:val="18"/>
                <w:lang w:val="sr-Latn-RS"/>
              </w:rPr>
            </w:pPr>
            <w:r w:rsidRPr="00BB0087">
              <w:rPr>
                <w:rFonts w:ascii="Verdana" w:eastAsia="Times New Roman" w:hAnsi="Verdana"/>
                <w:lang w:val="sr-Latn-RS"/>
              </w:rPr>
              <w:t>Slajd 6. treba da posluži za početak diskusije s polaznicima. Predavač treba da započne diskusiju sa</w:t>
            </w:r>
            <w:r w:rsidR="00E274B2" w:rsidRPr="00BB0087">
              <w:rPr>
                <w:rFonts w:ascii="Verdana" w:eastAsia="Times New Roman" w:hAnsi="Verdana"/>
                <w:lang w:val="sr-Latn-RS"/>
              </w:rPr>
              <w:t xml:space="preserve"> </w:t>
            </w:r>
            <w:r w:rsidRPr="00BB0087">
              <w:rPr>
                <w:rFonts w:ascii="Verdana" w:eastAsia="Times New Roman" w:hAnsi="Verdana"/>
                <w:lang w:val="sr-Latn-RS"/>
              </w:rPr>
              <w:t>članovima grupe tako što će identifikovati vrste elektronskih dokaza i podstaći polaznike da</w:t>
            </w:r>
            <w:r w:rsidR="00E274B2" w:rsidRPr="00BB0087">
              <w:rPr>
                <w:rFonts w:ascii="Verdana" w:eastAsia="Times New Roman" w:hAnsi="Verdana"/>
                <w:lang w:val="sr-Latn-RS"/>
              </w:rPr>
              <w:t xml:space="preserve"> </w:t>
            </w:r>
            <w:r w:rsidRPr="00BB0087">
              <w:rPr>
                <w:rFonts w:ascii="Verdana" w:eastAsia="Times New Roman" w:hAnsi="Verdana"/>
                <w:lang w:val="sr-Latn-RS"/>
              </w:rPr>
              <w:t>iznesu šta sve oni znaju o tom pitanju. Predavač potom treba da pobroji sve vrste koje su</w:t>
            </w:r>
            <w:r w:rsidR="00E274B2" w:rsidRPr="00BB0087">
              <w:rPr>
                <w:rFonts w:ascii="Verdana" w:eastAsia="Times New Roman" w:hAnsi="Verdana"/>
                <w:lang w:val="sr-Latn-RS"/>
              </w:rPr>
              <w:t xml:space="preserve"> </w:t>
            </w:r>
            <w:r w:rsidRPr="00BB0087">
              <w:rPr>
                <w:rFonts w:ascii="Verdana" w:eastAsia="Times New Roman" w:hAnsi="Verdana"/>
                <w:lang w:val="sr-Latn-RS"/>
              </w:rPr>
              <w:t>naglašene na flipčartu ili na beloj tabli. On treba da</w:t>
            </w:r>
            <w:r w:rsidR="00E274B2" w:rsidRPr="00BB0087">
              <w:rPr>
                <w:rFonts w:ascii="Verdana" w:eastAsia="Times New Roman" w:hAnsi="Verdana"/>
                <w:lang w:val="sr-Latn-RS"/>
              </w:rPr>
              <w:t xml:space="preserve"> </w:t>
            </w:r>
            <w:r w:rsidRPr="00BB0087">
              <w:rPr>
                <w:rFonts w:ascii="Verdana" w:eastAsia="Times New Roman" w:hAnsi="Verdana"/>
                <w:lang w:val="sr-Latn-RS"/>
              </w:rPr>
              <w:t>navede spisak do kraja ako</w:t>
            </w:r>
            <w:r w:rsidR="00E274B2" w:rsidRPr="00BB0087">
              <w:rPr>
                <w:rFonts w:ascii="Verdana" w:eastAsia="Times New Roman" w:hAnsi="Verdana"/>
                <w:lang w:val="sr-Latn-RS"/>
              </w:rPr>
              <w:t xml:space="preserve"> </w:t>
            </w:r>
            <w:r w:rsidRPr="00BB0087">
              <w:rPr>
                <w:rFonts w:ascii="Verdana" w:eastAsia="Times New Roman" w:hAnsi="Verdana"/>
                <w:lang w:val="sr-Latn-RS"/>
              </w:rPr>
              <w:t>polaznici ne budu sami naglasili sve vrste dokaza. Taj spisak treba da sadrži kako vrste dokaza</w:t>
            </w:r>
            <w:r w:rsidR="005A6794" w:rsidRPr="00BB0087">
              <w:rPr>
                <w:rFonts w:ascii="Verdana" w:eastAsia="Times New Roman" w:hAnsi="Verdana"/>
                <w:lang w:val="sr-Latn-RS"/>
              </w:rPr>
              <w:t>,</w:t>
            </w:r>
            <w:r w:rsidRPr="00BB0087">
              <w:rPr>
                <w:rFonts w:ascii="Verdana" w:eastAsia="Times New Roman" w:hAnsi="Verdana"/>
                <w:lang w:val="sr-Latn-RS"/>
              </w:rPr>
              <w:t xml:space="preserve"> kao što su „tajne kutije</w:t>
            </w:r>
            <w:r w:rsidR="00E274B2" w:rsidRPr="00BB0087">
              <w:rPr>
                <w:rFonts w:ascii="Verdana" w:eastAsia="Times New Roman" w:hAnsi="Verdana"/>
                <w:lang w:val="sr-Latn-RS"/>
              </w:rPr>
              <w:t>”</w:t>
            </w:r>
            <w:r w:rsidRPr="00BB0087">
              <w:rPr>
                <w:rFonts w:ascii="Verdana" w:eastAsia="Times New Roman" w:hAnsi="Verdana"/>
                <w:lang w:val="sr-Latn-RS"/>
              </w:rPr>
              <w:t>, živi podaci, memorija, internet, tako i izvor</w:t>
            </w:r>
            <w:r w:rsidR="0019241C" w:rsidRPr="00BB0087">
              <w:rPr>
                <w:rFonts w:ascii="Verdana" w:eastAsia="Times New Roman" w:hAnsi="Verdana"/>
                <w:lang w:val="sr-Latn-RS"/>
              </w:rPr>
              <w:t>e</w:t>
            </w:r>
            <w:r w:rsidRPr="00BB0087">
              <w:rPr>
                <w:rFonts w:ascii="Verdana" w:eastAsia="Times New Roman" w:hAnsi="Verdana"/>
                <w:lang w:val="sr-Latn-RS"/>
              </w:rPr>
              <w:t xml:space="preserve"> dokaza</w:t>
            </w:r>
            <w:r w:rsidR="005A6794" w:rsidRPr="00BB0087">
              <w:rPr>
                <w:rFonts w:ascii="Verdana" w:eastAsia="Times New Roman" w:hAnsi="Verdana"/>
                <w:lang w:val="sr-Latn-RS"/>
              </w:rPr>
              <w:t>,</w:t>
            </w:r>
            <w:r w:rsidRPr="00BB0087">
              <w:rPr>
                <w:rFonts w:ascii="Verdana" w:eastAsia="Times New Roman" w:hAnsi="Verdana"/>
                <w:lang w:val="sr-Latn-RS"/>
              </w:rPr>
              <w:t xml:space="preserve"> kao što su oni koji su razmotreni </w:t>
            </w:r>
            <w:r w:rsidR="000E2A6B" w:rsidRPr="00BB0087">
              <w:rPr>
                <w:rFonts w:ascii="Verdana" w:eastAsia="Times New Roman" w:hAnsi="Verdana"/>
                <w:lang w:val="sr-Latn-RS"/>
              </w:rPr>
              <w:t xml:space="preserve">u delu kursa </w:t>
            </w:r>
            <w:r w:rsidR="0019241C" w:rsidRPr="00BB0087">
              <w:rPr>
                <w:rFonts w:ascii="Verdana" w:eastAsia="Times New Roman" w:hAnsi="Verdana"/>
                <w:lang w:val="sr-Latn-RS"/>
              </w:rPr>
              <w:t xml:space="preserve">koji je </w:t>
            </w:r>
            <w:r w:rsidR="000E2A6B" w:rsidRPr="00BB0087">
              <w:rPr>
                <w:rFonts w:ascii="Verdana" w:eastAsia="Times New Roman" w:hAnsi="Verdana"/>
                <w:lang w:val="sr-Latn-RS"/>
              </w:rPr>
              <w:t xml:space="preserve">posvećen tehnologiji. </w:t>
            </w:r>
          </w:p>
          <w:p w14:paraId="649FEA68" w14:textId="215A66E0" w:rsidR="00CB3026" w:rsidRPr="00BB0087" w:rsidRDefault="000E2A6B" w:rsidP="00BB0087">
            <w:pPr>
              <w:pStyle w:val="Subtitle"/>
              <w:spacing w:before="120" w:line="260" w:lineRule="atLeast"/>
              <w:rPr>
                <w:rFonts w:ascii="Verdana" w:eastAsia="Times New Roman" w:hAnsi="Verdana"/>
                <w:lang w:val="sr-Latn-RS"/>
              </w:rPr>
            </w:pPr>
            <w:r w:rsidRPr="00BB0087">
              <w:rPr>
                <w:rFonts w:ascii="Verdana" w:hAnsi="Verdana"/>
                <w:szCs w:val="18"/>
                <w:lang w:val="sr-Latn-RS"/>
              </w:rPr>
              <w:t xml:space="preserve">Predavač treba da sprovede pripremu za kurs tako što će utvrditi da li postoje neke nacionalne definicije u jurisdikciji u kojoj se obuka odvija i ako postoje, te informacije </w:t>
            </w:r>
            <w:r w:rsidR="0019241C" w:rsidRPr="00BB0087">
              <w:rPr>
                <w:rFonts w:ascii="Verdana" w:hAnsi="Verdana"/>
                <w:szCs w:val="18"/>
                <w:lang w:val="sr-Latn-RS"/>
              </w:rPr>
              <w:t xml:space="preserve">treba </w:t>
            </w:r>
            <w:r w:rsidRPr="00BB0087">
              <w:rPr>
                <w:rFonts w:ascii="Verdana" w:hAnsi="Verdana"/>
                <w:szCs w:val="18"/>
                <w:lang w:val="sr-Latn-RS"/>
              </w:rPr>
              <w:t xml:space="preserve">da uvrsti u svoju prezentaciju. </w:t>
            </w:r>
          </w:p>
        </w:tc>
      </w:tr>
      <w:tr w:rsidR="00F1574D" w:rsidRPr="00BB0087" w14:paraId="15587DD6" w14:textId="77777777" w:rsidTr="00F1574D">
        <w:trPr>
          <w:trHeight w:val="1916"/>
        </w:trPr>
        <w:tc>
          <w:tcPr>
            <w:tcW w:w="1525" w:type="dxa"/>
            <w:vAlign w:val="center"/>
          </w:tcPr>
          <w:p w14:paraId="5EBB803A" w14:textId="1B553959" w:rsidR="00556D69" w:rsidRPr="00BB0087" w:rsidRDefault="00FE45CA" w:rsidP="00BB0087">
            <w:pPr>
              <w:spacing w:before="120" w:after="120" w:line="260" w:lineRule="atLeast"/>
              <w:jc w:val="center"/>
              <w:rPr>
                <w:rFonts w:ascii="Verdana" w:hAnsi="Verdana"/>
                <w:sz w:val="18"/>
                <w:szCs w:val="18"/>
                <w:lang w:val="sr-Latn-RS"/>
              </w:rPr>
            </w:pPr>
            <w:r w:rsidRPr="00BB0087">
              <w:rPr>
                <w:rFonts w:ascii="Verdana" w:hAnsi="Verdana"/>
                <w:sz w:val="18"/>
                <w:szCs w:val="18"/>
                <w:lang w:val="sr-Latn-RS"/>
              </w:rPr>
              <w:t>1</w:t>
            </w:r>
            <w:r w:rsidR="00E77721" w:rsidRPr="00BB0087">
              <w:rPr>
                <w:rFonts w:ascii="Verdana" w:hAnsi="Verdana"/>
                <w:sz w:val="18"/>
                <w:szCs w:val="18"/>
                <w:lang w:val="sr-Latn-RS"/>
              </w:rPr>
              <w:t>8</w:t>
            </w:r>
            <w:r w:rsidR="0019241C" w:rsidRPr="00BB0087">
              <w:rPr>
                <w:rFonts w:ascii="Verdana" w:hAnsi="Verdana"/>
                <w:sz w:val="18"/>
                <w:szCs w:val="18"/>
                <w:lang w:val="sr-Latn-RS"/>
              </w:rPr>
              <w:t>−</w:t>
            </w:r>
            <w:r w:rsidR="00C70C5C" w:rsidRPr="00BB0087">
              <w:rPr>
                <w:rFonts w:ascii="Verdana" w:hAnsi="Verdana"/>
                <w:sz w:val="18"/>
                <w:szCs w:val="18"/>
                <w:lang w:val="sr-Latn-RS"/>
              </w:rPr>
              <w:t>2</w:t>
            </w:r>
            <w:r w:rsidR="00E77721" w:rsidRPr="00BB0087">
              <w:rPr>
                <w:rFonts w:ascii="Verdana" w:hAnsi="Verdana"/>
                <w:sz w:val="18"/>
                <w:szCs w:val="18"/>
                <w:lang w:val="sr-Latn-RS"/>
              </w:rPr>
              <w:t>7</w:t>
            </w:r>
            <w:r w:rsidR="0019241C" w:rsidRPr="00BB0087">
              <w:rPr>
                <w:rFonts w:ascii="Verdana" w:hAnsi="Verdana"/>
                <w:sz w:val="18"/>
                <w:szCs w:val="18"/>
                <w:lang w:val="sr-Latn-RS"/>
              </w:rPr>
              <w:t>.</w:t>
            </w:r>
          </w:p>
          <w:p w14:paraId="65C32028" w14:textId="1AD161F8" w:rsidR="00F1574D" w:rsidRPr="00BB0087" w:rsidRDefault="000E2A6B" w:rsidP="00BB0087">
            <w:pPr>
              <w:spacing w:before="120" w:after="120" w:line="260" w:lineRule="atLeast"/>
              <w:jc w:val="center"/>
              <w:rPr>
                <w:rFonts w:ascii="Verdana" w:hAnsi="Verdana"/>
                <w:sz w:val="18"/>
                <w:szCs w:val="18"/>
                <w:lang w:val="sr-Latn-RS"/>
              </w:rPr>
            </w:pPr>
            <w:r w:rsidRPr="00BB0087">
              <w:rPr>
                <w:rFonts w:ascii="Verdana" w:hAnsi="Verdana"/>
                <w:sz w:val="18"/>
                <w:szCs w:val="18"/>
                <w:lang w:val="sr-Latn-RS"/>
              </w:rPr>
              <w:t>Obavezni slajdovi</w:t>
            </w:r>
          </w:p>
        </w:tc>
        <w:tc>
          <w:tcPr>
            <w:tcW w:w="7485" w:type="dxa"/>
            <w:gridSpan w:val="2"/>
            <w:vAlign w:val="center"/>
          </w:tcPr>
          <w:p w14:paraId="4D4FDB54" w14:textId="2F85D67D" w:rsidR="000E2A6B" w:rsidRPr="00BB0087" w:rsidRDefault="000E2A6B" w:rsidP="00BB0087">
            <w:pPr>
              <w:pStyle w:val="Subtitle"/>
              <w:spacing w:before="120" w:line="260" w:lineRule="atLeast"/>
              <w:rPr>
                <w:rFonts w:ascii="Verdana" w:eastAsia="Times New Roman" w:hAnsi="Verdana"/>
                <w:lang w:val="sr-Latn-RS"/>
              </w:rPr>
            </w:pPr>
            <w:r w:rsidRPr="00BB0087">
              <w:rPr>
                <w:rFonts w:ascii="Verdana" w:eastAsia="Times New Roman" w:hAnsi="Verdana"/>
                <w:lang w:val="sr-Latn-RS"/>
              </w:rPr>
              <w:t>Slajdovi u narednim odeljcima bave se</w:t>
            </w:r>
            <w:r w:rsidR="00E274B2" w:rsidRPr="00BB0087">
              <w:rPr>
                <w:rFonts w:ascii="Verdana" w:eastAsia="Times New Roman" w:hAnsi="Verdana"/>
                <w:lang w:val="sr-Latn-RS"/>
              </w:rPr>
              <w:t xml:space="preserve"> </w:t>
            </w:r>
            <w:r w:rsidRPr="00BB0087">
              <w:rPr>
                <w:rFonts w:ascii="Verdana" w:eastAsia="Times New Roman" w:hAnsi="Verdana"/>
                <w:lang w:val="sr-Latn-RS"/>
              </w:rPr>
              <w:t xml:space="preserve">Vodičem </w:t>
            </w:r>
            <w:r w:rsidR="0098003E" w:rsidRPr="00BB0087">
              <w:rPr>
                <w:rFonts w:ascii="Verdana" w:eastAsia="Times New Roman" w:hAnsi="Verdana"/>
                <w:lang w:val="sr-Latn-RS"/>
              </w:rPr>
              <w:t xml:space="preserve">Saveta Evrope </w:t>
            </w:r>
            <w:r w:rsidRPr="00BB0087">
              <w:rPr>
                <w:rFonts w:ascii="Verdana" w:eastAsia="Times New Roman" w:hAnsi="Verdana"/>
                <w:lang w:val="sr-Latn-RS"/>
              </w:rPr>
              <w:t>za elektronske dokaze</w:t>
            </w:r>
            <w:r w:rsidR="0019241C" w:rsidRPr="00BB0087">
              <w:rPr>
                <w:rFonts w:ascii="Verdana" w:eastAsia="Times New Roman" w:hAnsi="Verdana"/>
                <w:lang w:val="sr-Latn-RS"/>
              </w:rPr>
              <w:t>,</w:t>
            </w:r>
            <w:r w:rsidRPr="00BB0087">
              <w:rPr>
                <w:rFonts w:ascii="Verdana" w:eastAsia="Times New Roman" w:hAnsi="Verdana"/>
                <w:lang w:val="sr-Latn-RS"/>
              </w:rPr>
              <w:t xml:space="preserve"> koji predstavlja važan aspekt obuke. </w:t>
            </w:r>
          </w:p>
          <w:p w14:paraId="0947AE03" w14:textId="3C823401" w:rsidR="00C70C5C" w:rsidRPr="00BB0087" w:rsidRDefault="000E2A6B" w:rsidP="00BB0087">
            <w:pPr>
              <w:pStyle w:val="Subtitle"/>
              <w:spacing w:before="120" w:line="260" w:lineRule="atLeast"/>
              <w:rPr>
                <w:rFonts w:ascii="Verdana" w:eastAsia="Times New Roman" w:hAnsi="Verdana"/>
                <w:lang w:val="sr-Latn-RS"/>
              </w:rPr>
            </w:pPr>
            <w:r w:rsidRPr="00BB0087">
              <w:rPr>
                <w:rFonts w:ascii="Verdana" w:eastAsia="Times New Roman" w:hAnsi="Verdana"/>
                <w:lang w:val="sr-Latn-RS"/>
              </w:rPr>
              <w:t xml:space="preserve">Ti slajdovi se bave pozadinom elektronskih dokaza i objašnjavaju zbog čega je napisan </w:t>
            </w:r>
            <w:r w:rsidR="0019241C" w:rsidRPr="00BB0087">
              <w:rPr>
                <w:rFonts w:ascii="Verdana" w:eastAsia="Times New Roman" w:hAnsi="Verdana"/>
                <w:lang w:val="sr-Latn-RS"/>
              </w:rPr>
              <w:t>V</w:t>
            </w:r>
            <w:r w:rsidRPr="00BB0087">
              <w:rPr>
                <w:rFonts w:ascii="Verdana" w:eastAsia="Times New Roman" w:hAnsi="Verdana"/>
                <w:lang w:val="sr-Latn-RS"/>
              </w:rPr>
              <w:t xml:space="preserve">odič. U njima se takođe razmatra kome je taj vodič namenjen i ko – i na koji način – treba da ga koristi. </w:t>
            </w:r>
          </w:p>
          <w:p w14:paraId="09B58FC0" w14:textId="6A11E5D9" w:rsidR="00C70C5C" w:rsidRPr="00BB0087" w:rsidRDefault="000E2A6B" w:rsidP="00BB0087">
            <w:pPr>
              <w:spacing w:before="120" w:after="120" w:line="260" w:lineRule="atLeast"/>
              <w:rPr>
                <w:rFonts w:ascii="Verdana" w:hAnsi="Verdana"/>
                <w:lang w:val="sr-Latn-RS"/>
              </w:rPr>
            </w:pPr>
            <w:r w:rsidRPr="00BB0087">
              <w:rPr>
                <w:rFonts w:ascii="Verdana" w:eastAsia="Times New Roman" w:hAnsi="Verdana" w:cstheme="majorBidi"/>
                <w:iCs/>
                <w:color w:val="000000" w:themeColor="text1"/>
                <w:sz w:val="18"/>
                <w:lang w:val="sr-Latn-RS"/>
              </w:rPr>
              <w:t xml:space="preserve">Ovde se uvode </w:t>
            </w:r>
            <w:r w:rsidR="0019241C" w:rsidRPr="00BB0087">
              <w:rPr>
                <w:rFonts w:ascii="Verdana" w:eastAsia="Times New Roman" w:hAnsi="Verdana" w:cstheme="majorBidi"/>
                <w:iCs/>
                <w:color w:val="000000" w:themeColor="text1"/>
                <w:sz w:val="18"/>
                <w:lang w:val="sr-Latn-RS"/>
              </w:rPr>
              <w:t>p</w:t>
            </w:r>
            <w:r w:rsidRPr="00BB0087">
              <w:rPr>
                <w:rFonts w:ascii="Verdana" w:eastAsia="Times New Roman" w:hAnsi="Verdana" w:cstheme="majorBidi"/>
                <w:iCs/>
                <w:color w:val="000000" w:themeColor="text1"/>
                <w:sz w:val="18"/>
                <w:lang w:val="sr-Latn-RS"/>
              </w:rPr>
              <w:t>rincipi elektronskih dokaza.</w:t>
            </w:r>
          </w:p>
        </w:tc>
      </w:tr>
      <w:tr w:rsidR="00F1574D" w:rsidRPr="00BB0087" w14:paraId="4F010995" w14:textId="77777777" w:rsidTr="00F1574D">
        <w:trPr>
          <w:trHeight w:val="791"/>
        </w:trPr>
        <w:tc>
          <w:tcPr>
            <w:tcW w:w="1525" w:type="dxa"/>
            <w:vAlign w:val="center"/>
          </w:tcPr>
          <w:p w14:paraId="15E808BA" w14:textId="1434374D" w:rsidR="00556D69" w:rsidRPr="00BB0087" w:rsidRDefault="00C70C5C" w:rsidP="00BB0087">
            <w:pPr>
              <w:spacing w:before="120" w:after="120" w:line="260" w:lineRule="atLeast"/>
              <w:jc w:val="center"/>
              <w:rPr>
                <w:rFonts w:ascii="Verdana" w:hAnsi="Verdana"/>
                <w:sz w:val="18"/>
                <w:szCs w:val="18"/>
                <w:lang w:val="sr-Latn-RS"/>
              </w:rPr>
            </w:pPr>
            <w:r w:rsidRPr="00BB0087">
              <w:rPr>
                <w:rFonts w:ascii="Verdana" w:hAnsi="Verdana"/>
                <w:sz w:val="18"/>
                <w:szCs w:val="18"/>
                <w:lang w:val="sr-Latn-RS"/>
              </w:rPr>
              <w:t>2</w:t>
            </w:r>
            <w:r w:rsidR="00E77721" w:rsidRPr="00BB0087">
              <w:rPr>
                <w:rFonts w:ascii="Verdana" w:hAnsi="Verdana"/>
                <w:sz w:val="18"/>
                <w:szCs w:val="18"/>
                <w:lang w:val="sr-Latn-RS"/>
              </w:rPr>
              <w:t>8</w:t>
            </w:r>
            <w:r w:rsidR="0019241C" w:rsidRPr="00BB0087">
              <w:rPr>
                <w:rFonts w:ascii="Verdana" w:hAnsi="Verdana"/>
                <w:sz w:val="18"/>
                <w:szCs w:val="18"/>
                <w:lang w:val="sr-Latn-RS"/>
              </w:rPr>
              <w:t>−</w:t>
            </w:r>
            <w:r w:rsidRPr="00BB0087">
              <w:rPr>
                <w:rFonts w:ascii="Verdana" w:hAnsi="Verdana"/>
                <w:sz w:val="18"/>
                <w:szCs w:val="18"/>
                <w:lang w:val="sr-Latn-RS"/>
              </w:rPr>
              <w:t>3</w:t>
            </w:r>
            <w:r w:rsidR="00E77721" w:rsidRPr="00BB0087">
              <w:rPr>
                <w:rFonts w:ascii="Verdana" w:hAnsi="Verdana"/>
                <w:sz w:val="18"/>
                <w:szCs w:val="18"/>
                <w:lang w:val="sr-Latn-RS"/>
              </w:rPr>
              <w:t>4</w:t>
            </w:r>
            <w:r w:rsidR="0019241C" w:rsidRPr="00BB0087">
              <w:rPr>
                <w:rFonts w:ascii="Verdana" w:hAnsi="Verdana"/>
                <w:sz w:val="18"/>
                <w:szCs w:val="18"/>
                <w:lang w:val="sr-Latn-RS"/>
              </w:rPr>
              <w:t>.</w:t>
            </w:r>
          </w:p>
          <w:p w14:paraId="48504862" w14:textId="412483FE" w:rsidR="00C70C5C" w:rsidRPr="00BB0087" w:rsidRDefault="000E2A6B" w:rsidP="00BB0087">
            <w:pPr>
              <w:spacing w:before="120" w:after="120" w:line="260" w:lineRule="atLeast"/>
              <w:jc w:val="center"/>
              <w:rPr>
                <w:rFonts w:ascii="Verdana" w:hAnsi="Verdana"/>
                <w:sz w:val="18"/>
                <w:szCs w:val="18"/>
                <w:lang w:val="sr-Latn-RS"/>
              </w:rPr>
            </w:pPr>
            <w:r w:rsidRPr="00BB0087">
              <w:rPr>
                <w:rFonts w:ascii="Verdana" w:hAnsi="Verdana"/>
                <w:sz w:val="18"/>
                <w:szCs w:val="18"/>
                <w:lang w:val="sr-Latn-RS"/>
              </w:rPr>
              <w:t>Obavezni slajdovi</w:t>
            </w:r>
          </w:p>
        </w:tc>
        <w:tc>
          <w:tcPr>
            <w:tcW w:w="7485" w:type="dxa"/>
            <w:gridSpan w:val="2"/>
            <w:vAlign w:val="center"/>
          </w:tcPr>
          <w:p w14:paraId="1F3BFF16" w14:textId="7E130B44" w:rsidR="000E2A6B" w:rsidRPr="00BB0087" w:rsidRDefault="000E2A6B" w:rsidP="00BB0087">
            <w:pPr>
              <w:pStyle w:val="Subtitle"/>
              <w:spacing w:before="120" w:line="260" w:lineRule="atLeast"/>
              <w:rPr>
                <w:rFonts w:ascii="Verdana" w:eastAsia="Times New Roman" w:hAnsi="Verdana"/>
                <w:lang w:val="sr-Latn-RS"/>
              </w:rPr>
            </w:pPr>
            <w:r w:rsidRPr="00BB0087">
              <w:rPr>
                <w:rFonts w:ascii="Verdana" w:eastAsia="Times New Roman" w:hAnsi="Verdana"/>
                <w:lang w:val="sr-Latn-RS"/>
              </w:rPr>
              <w:t>U tim slajdovi</w:t>
            </w:r>
            <w:r w:rsidR="0019241C" w:rsidRPr="00BB0087">
              <w:rPr>
                <w:rFonts w:ascii="Verdana" w:eastAsia="Times New Roman" w:hAnsi="Verdana"/>
                <w:lang w:val="sr-Latn-RS"/>
              </w:rPr>
              <w:t>ma</w:t>
            </w:r>
            <w:r w:rsidRPr="00BB0087">
              <w:rPr>
                <w:rFonts w:ascii="Verdana" w:eastAsia="Times New Roman" w:hAnsi="Verdana"/>
                <w:lang w:val="sr-Latn-RS"/>
              </w:rPr>
              <w:t xml:space="preserve"> </w:t>
            </w:r>
            <w:r w:rsidR="0019241C" w:rsidRPr="00BB0087">
              <w:rPr>
                <w:rFonts w:ascii="Verdana" w:eastAsia="Times New Roman" w:hAnsi="Verdana"/>
                <w:lang w:val="sr-Latn-RS"/>
              </w:rPr>
              <w:t xml:space="preserve">se </w:t>
            </w:r>
            <w:r w:rsidRPr="00BB0087">
              <w:rPr>
                <w:rFonts w:ascii="Verdana" w:eastAsia="Times New Roman" w:hAnsi="Verdana"/>
                <w:lang w:val="sr-Latn-RS"/>
              </w:rPr>
              <w:t>razmatra pet principa elektronskih dokaza</w:t>
            </w:r>
            <w:r w:rsidR="0019241C" w:rsidRPr="00BB0087">
              <w:rPr>
                <w:rFonts w:ascii="Verdana" w:eastAsia="Times New Roman" w:hAnsi="Verdana"/>
                <w:lang w:val="sr-Latn-RS"/>
              </w:rPr>
              <w:t>,</w:t>
            </w:r>
            <w:r w:rsidRPr="00BB0087">
              <w:rPr>
                <w:rFonts w:ascii="Verdana" w:eastAsia="Times New Roman" w:hAnsi="Verdana"/>
                <w:lang w:val="sr-Latn-RS"/>
              </w:rPr>
              <w:t xml:space="preserve"> što omogućuje predavaču da</w:t>
            </w:r>
            <w:r w:rsidR="00E274B2" w:rsidRPr="00BB0087">
              <w:rPr>
                <w:rFonts w:ascii="Verdana" w:eastAsia="Times New Roman" w:hAnsi="Verdana"/>
                <w:lang w:val="sr-Latn-RS"/>
              </w:rPr>
              <w:t xml:space="preserve"> </w:t>
            </w:r>
            <w:r w:rsidRPr="00BB0087">
              <w:rPr>
                <w:rFonts w:ascii="Verdana" w:eastAsia="Times New Roman" w:hAnsi="Verdana"/>
                <w:lang w:val="sr-Latn-RS"/>
              </w:rPr>
              <w:t xml:space="preserve">svaki od njih objasni i navede njegovu svrhu. </w:t>
            </w:r>
          </w:p>
          <w:p w14:paraId="4AF5B3D7" w14:textId="0F254BEF" w:rsidR="00C70C5C" w:rsidRPr="00BB0087" w:rsidRDefault="000E2A6B" w:rsidP="00BB0087">
            <w:pPr>
              <w:pStyle w:val="Subtitle"/>
              <w:spacing w:before="120" w:line="260" w:lineRule="atLeast"/>
              <w:rPr>
                <w:rFonts w:ascii="Verdana" w:eastAsia="Times New Roman" w:hAnsi="Verdana"/>
                <w:iCs w:val="0"/>
                <w:lang w:val="sr-Latn-RS"/>
              </w:rPr>
            </w:pPr>
            <w:r w:rsidRPr="00BB0087">
              <w:rPr>
                <w:rFonts w:ascii="Verdana" w:eastAsia="Times New Roman" w:hAnsi="Verdana"/>
                <w:lang w:val="sr-Latn-RS"/>
              </w:rPr>
              <w:t xml:space="preserve">Ti principi bi trebalo da podstaknu određenu diskusiju i postavljanje pitanja. Ako toga ne bude, sam predavač treba da postavlja pitanja polaznicima i sasluša njihove odgovore. </w:t>
            </w:r>
          </w:p>
        </w:tc>
      </w:tr>
      <w:tr w:rsidR="00F1574D" w:rsidRPr="00BB0087" w14:paraId="3C4A313A" w14:textId="77777777" w:rsidTr="00F1574D">
        <w:trPr>
          <w:trHeight w:val="890"/>
        </w:trPr>
        <w:tc>
          <w:tcPr>
            <w:tcW w:w="1525" w:type="dxa"/>
            <w:vAlign w:val="center"/>
          </w:tcPr>
          <w:p w14:paraId="1D843CBC" w14:textId="23C914B9" w:rsidR="00556D69" w:rsidRPr="00BB0087" w:rsidRDefault="00C70C5C" w:rsidP="00BB0087">
            <w:pPr>
              <w:spacing w:before="120" w:after="120" w:line="260" w:lineRule="atLeast"/>
              <w:jc w:val="center"/>
              <w:rPr>
                <w:rFonts w:ascii="Verdana" w:hAnsi="Verdana"/>
                <w:sz w:val="18"/>
                <w:szCs w:val="18"/>
                <w:lang w:val="sr-Latn-RS"/>
              </w:rPr>
            </w:pPr>
            <w:r w:rsidRPr="00BB0087">
              <w:rPr>
                <w:rFonts w:ascii="Verdana" w:hAnsi="Verdana"/>
                <w:sz w:val="18"/>
                <w:szCs w:val="18"/>
                <w:lang w:val="sr-Latn-RS"/>
              </w:rPr>
              <w:t>3</w:t>
            </w:r>
            <w:r w:rsidR="00E77721" w:rsidRPr="00BB0087">
              <w:rPr>
                <w:rFonts w:ascii="Verdana" w:hAnsi="Verdana"/>
                <w:sz w:val="18"/>
                <w:szCs w:val="18"/>
                <w:lang w:val="sr-Latn-RS"/>
              </w:rPr>
              <w:t>5</w:t>
            </w:r>
            <w:r w:rsidR="0019241C" w:rsidRPr="00BB0087">
              <w:rPr>
                <w:rFonts w:ascii="Verdana" w:hAnsi="Verdana"/>
                <w:sz w:val="18"/>
                <w:szCs w:val="18"/>
                <w:lang w:val="sr-Latn-RS"/>
              </w:rPr>
              <w:t>−</w:t>
            </w:r>
            <w:r w:rsidR="00E77721" w:rsidRPr="00BB0087">
              <w:rPr>
                <w:rFonts w:ascii="Verdana" w:hAnsi="Verdana"/>
                <w:sz w:val="18"/>
                <w:szCs w:val="18"/>
                <w:lang w:val="sr-Latn-RS"/>
              </w:rPr>
              <w:t>61</w:t>
            </w:r>
            <w:r w:rsidR="0019241C" w:rsidRPr="00BB0087">
              <w:rPr>
                <w:rFonts w:ascii="Verdana" w:hAnsi="Verdana"/>
                <w:sz w:val="18"/>
                <w:szCs w:val="18"/>
                <w:lang w:val="sr-Latn-RS"/>
              </w:rPr>
              <w:t>.</w:t>
            </w:r>
          </w:p>
          <w:p w14:paraId="00098EC4" w14:textId="36A28E8D" w:rsidR="00F1574D" w:rsidRPr="00BB0087" w:rsidRDefault="000E2A6B" w:rsidP="00BB0087">
            <w:pPr>
              <w:spacing w:before="120" w:after="120" w:line="260" w:lineRule="atLeast"/>
              <w:jc w:val="center"/>
              <w:rPr>
                <w:rFonts w:ascii="Verdana" w:hAnsi="Verdana"/>
                <w:sz w:val="18"/>
                <w:szCs w:val="18"/>
                <w:lang w:val="sr-Latn-RS"/>
              </w:rPr>
            </w:pPr>
            <w:r w:rsidRPr="00BB0087">
              <w:rPr>
                <w:rFonts w:ascii="Verdana" w:hAnsi="Verdana"/>
                <w:sz w:val="18"/>
                <w:szCs w:val="18"/>
                <w:lang w:val="sr-Latn-RS"/>
              </w:rPr>
              <w:t>Obavezni slajdovi</w:t>
            </w:r>
          </w:p>
        </w:tc>
        <w:tc>
          <w:tcPr>
            <w:tcW w:w="7485" w:type="dxa"/>
            <w:gridSpan w:val="2"/>
            <w:vAlign w:val="center"/>
          </w:tcPr>
          <w:p w14:paraId="09B693A1" w14:textId="7EB400B1" w:rsidR="00556D69" w:rsidRPr="00BB0087" w:rsidRDefault="00BD0E51" w:rsidP="00BB0087">
            <w:pPr>
              <w:spacing w:before="120" w:after="120" w:line="260" w:lineRule="atLeast"/>
              <w:jc w:val="both"/>
              <w:rPr>
                <w:rFonts w:ascii="Verdana" w:hAnsi="Verdana"/>
                <w:sz w:val="18"/>
                <w:szCs w:val="18"/>
                <w:lang w:val="sr-Latn-RS"/>
              </w:rPr>
            </w:pPr>
            <w:r w:rsidRPr="00BB0087">
              <w:rPr>
                <w:rFonts w:ascii="Verdana" w:hAnsi="Verdana"/>
                <w:sz w:val="18"/>
                <w:szCs w:val="18"/>
                <w:lang w:val="sr-Latn-RS"/>
              </w:rPr>
              <w:t>Ti slajdovi se bave elektronskim „mestom zločina</w:t>
            </w:r>
            <w:r w:rsidR="00E274B2" w:rsidRPr="00BB0087">
              <w:rPr>
                <w:rFonts w:ascii="Verdana" w:hAnsi="Verdana"/>
                <w:sz w:val="18"/>
                <w:szCs w:val="18"/>
                <w:lang w:val="sr-Latn-RS"/>
              </w:rPr>
              <w:t>”</w:t>
            </w:r>
            <w:r w:rsidRPr="00BB0087">
              <w:rPr>
                <w:rFonts w:ascii="Verdana" w:hAnsi="Verdana"/>
                <w:sz w:val="18"/>
                <w:szCs w:val="18"/>
                <w:lang w:val="sr-Latn-RS"/>
              </w:rPr>
              <w:t xml:space="preserve"> i time kako mu treba pristupiti. Postoje odeljci o pripremi, pribavljanj</w:t>
            </w:r>
            <w:r w:rsidR="005A6794" w:rsidRPr="00BB0087">
              <w:rPr>
                <w:rFonts w:ascii="Verdana" w:hAnsi="Verdana"/>
                <w:sz w:val="18"/>
                <w:szCs w:val="18"/>
                <w:lang w:val="sr-Latn-RS"/>
              </w:rPr>
              <w:t>u</w:t>
            </w:r>
            <w:r w:rsidRPr="00BB0087">
              <w:rPr>
                <w:rFonts w:ascii="Verdana" w:hAnsi="Verdana"/>
                <w:sz w:val="18"/>
                <w:szCs w:val="18"/>
                <w:lang w:val="sr-Latn-RS"/>
              </w:rPr>
              <w:t xml:space="preserve"> obaveštajnih podataka i stvarnom odlasku u obilazak „mesta zločina</w:t>
            </w:r>
            <w:r w:rsidR="00E274B2" w:rsidRPr="00BB0087">
              <w:rPr>
                <w:rFonts w:ascii="Verdana" w:hAnsi="Verdana"/>
                <w:sz w:val="18"/>
                <w:szCs w:val="18"/>
                <w:lang w:val="sr-Latn-RS"/>
              </w:rPr>
              <w:t>”</w:t>
            </w:r>
            <w:r w:rsidRPr="00BB0087">
              <w:rPr>
                <w:rFonts w:ascii="Verdana" w:hAnsi="Verdana"/>
                <w:sz w:val="18"/>
                <w:szCs w:val="18"/>
                <w:lang w:val="sr-Latn-RS"/>
              </w:rPr>
              <w:t xml:space="preserve"> – a objašnjeni su i svi koraci koje tu treba preduzeti. </w:t>
            </w:r>
          </w:p>
        </w:tc>
      </w:tr>
      <w:tr w:rsidR="00F1574D" w:rsidRPr="00BB0087" w14:paraId="0425CAAD" w14:textId="77777777" w:rsidTr="00F1574D">
        <w:trPr>
          <w:trHeight w:val="1295"/>
        </w:trPr>
        <w:tc>
          <w:tcPr>
            <w:tcW w:w="1525" w:type="dxa"/>
            <w:vAlign w:val="center"/>
          </w:tcPr>
          <w:p w14:paraId="78B73F89" w14:textId="62E3C63E" w:rsidR="00556D69" w:rsidRPr="00BB0087" w:rsidRDefault="00E77721" w:rsidP="00BB0087">
            <w:pPr>
              <w:spacing w:before="120" w:after="120" w:line="260" w:lineRule="atLeast"/>
              <w:jc w:val="center"/>
              <w:rPr>
                <w:rFonts w:ascii="Verdana" w:hAnsi="Verdana"/>
                <w:sz w:val="18"/>
                <w:szCs w:val="18"/>
                <w:lang w:val="sr-Latn-RS"/>
              </w:rPr>
            </w:pPr>
            <w:r w:rsidRPr="00BB0087">
              <w:rPr>
                <w:rFonts w:ascii="Verdana" w:hAnsi="Verdana"/>
                <w:sz w:val="18"/>
                <w:szCs w:val="18"/>
                <w:lang w:val="sr-Latn-RS"/>
              </w:rPr>
              <w:t>62</w:t>
            </w:r>
            <w:r w:rsidR="0019241C" w:rsidRPr="00BB0087">
              <w:rPr>
                <w:rFonts w:ascii="Verdana" w:hAnsi="Verdana"/>
                <w:sz w:val="18"/>
                <w:szCs w:val="18"/>
                <w:lang w:val="sr-Latn-RS"/>
              </w:rPr>
              <w:t>−</w:t>
            </w:r>
            <w:r w:rsidR="003F6587" w:rsidRPr="00BB0087">
              <w:rPr>
                <w:rFonts w:ascii="Verdana" w:hAnsi="Verdana"/>
                <w:sz w:val="18"/>
                <w:szCs w:val="18"/>
                <w:lang w:val="sr-Latn-RS"/>
              </w:rPr>
              <w:t>7</w:t>
            </w:r>
            <w:r w:rsidRPr="00BB0087">
              <w:rPr>
                <w:rFonts w:ascii="Verdana" w:hAnsi="Verdana"/>
                <w:sz w:val="18"/>
                <w:szCs w:val="18"/>
                <w:lang w:val="sr-Latn-RS"/>
              </w:rPr>
              <w:t>8</w:t>
            </w:r>
            <w:r w:rsidR="0019241C" w:rsidRPr="00BB0087">
              <w:rPr>
                <w:rFonts w:ascii="Verdana" w:hAnsi="Verdana"/>
                <w:sz w:val="18"/>
                <w:szCs w:val="18"/>
                <w:lang w:val="sr-Latn-RS"/>
              </w:rPr>
              <w:t>.</w:t>
            </w:r>
          </w:p>
          <w:p w14:paraId="054F45E0" w14:textId="6B23F43A" w:rsidR="00F1574D" w:rsidRPr="00BB0087" w:rsidRDefault="00BD0E51" w:rsidP="00BB0087">
            <w:pPr>
              <w:spacing w:before="120" w:after="120" w:line="260" w:lineRule="atLeast"/>
              <w:jc w:val="center"/>
              <w:rPr>
                <w:rFonts w:ascii="Verdana" w:hAnsi="Verdana"/>
                <w:sz w:val="18"/>
                <w:szCs w:val="18"/>
                <w:lang w:val="sr-Latn-RS"/>
              </w:rPr>
            </w:pPr>
            <w:r w:rsidRPr="00BB0087">
              <w:rPr>
                <w:rFonts w:ascii="Verdana" w:hAnsi="Verdana"/>
                <w:sz w:val="18"/>
                <w:szCs w:val="18"/>
                <w:lang w:val="sr-Latn-RS"/>
              </w:rPr>
              <w:t>Važni slajdovi</w:t>
            </w:r>
          </w:p>
        </w:tc>
        <w:tc>
          <w:tcPr>
            <w:tcW w:w="7485" w:type="dxa"/>
            <w:gridSpan w:val="2"/>
            <w:vAlign w:val="center"/>
          </w:tcPr>
          <w:p w14:paraId="1F84F5FD" w14:textId="77777777" w:rsidR="00BD0E51" w:rsidRPr="00BB0087" w:rsidRDefault="00BD0E51" w:rsidP="00BB0087">
            <w:pPr>
              <w:pStyle w:val="Subtitle"/>
              <w:spacing w:before="120" w:line="260" w:lineRule="atLeast"/>
              <w:rPr>
                <w:rFonts w:ascii="Verdana" w:hAnsi="Verdana"/>
                <w:szCs w:val="18"/>
                <w:lang w:val="sr-Latn-RS"/>
              </w:rPr>
            </w:pPr>
            <w:r w:rsidRPr="00BB0087">
              <w:rPr>
                <w:rFonts w:ascii="Verdana" w:hAnsi="Verdana"/>
                <w:szCs w:val="18"/>
                <w:lang w:val="sr-Latn-RS"/>
              </w:rPr>
              <w:t xml:space="preserve">Ovaj odeljak se bavi elektronskim dokazima. Govori se o vrstama dokaza i o tome u kakvom će se vidu oni pojaviti pred sudijama i tužiocima. </w:t>
            </w:r>
          </w:p>
          <w:p w14:paraId="13E6DA8B" w14:textId="77777777" w:rsidR="00BD0E51" w:rsidRPr="00BB0087" w:rsidRDefault="00BD0E51" w:rsidP="00BB0087">
            <w:pPr>
              <w:pStyle w:val="Subtitle"/>
              <w:spacing w:before="120" w:line="260" w:lineRule="atLeast"/>
              <w:rPr>
                <w:rFonts w:ascii="Verdana" w:hAnsi="Verdana"/>
                <w:szCs w:val="18"/>
                <w:lang w:val="sr-Latn-RS"/>
              </w:rPr>
            </w:pPr>
            <w:r w:rsidRPr="00BB0087">
              <w:rPr>
                <w:rFonts w:ascii="Verdana" w:hAnsi="Verdana"/>
                <w:szCs w:val="18"/>
                <w:lang w:val="sr-Latn-RS"/>
              </w:rPr>
              <w:t xml:space="preserve">Pravi se razlika između analognog mesta zločina i digitalnog mesta zločina. </w:t>
            </w:r>
          </w:p>
          <w:p w14:paraId="78AA26D5" w14:textId="19481D4D" w:rsidR="00314D32" w:rsidRPr="00BB0087" w:rsidRDefault="00BD0E51" w:rsidP="00BB0087">
            <w:pPr>
              <w:pStyle w:val="Subtitle"/>
              <w:spacing w:before="120" w:line="260" w:lineRule="atLeast"/>
              <w:rPr>
                <w:rFonts w:ascii="Verdana" w:hAnsi="Verdana"/>
                <w:szCs w:val="18"/>
                <w:lang w:val="sr-Latn-RS"/>
              </w:rPr>
            </w:pPr>
            <w:r w:rsidRPr="00BB0087">
              <w:rPr>
                <w:rFonts w:ascii="Verdana" w:hAnsi="Verdana"/>
                <w:szCs w:val="18"/>
                <w:lang w:val="sr-Latn-RS"/>
              </w:rPr>
              <w:t>Slajdovi potom prelaze na upoznavanje polaznika sa koracima</w:t>
            </w:r>
            <w:r w:rsidR="00E274B2" w:rsidRPr="00BB0087">
              <w:rPr>
                <w:rFonts w:ascii="Verdana" w:hAnsi="Verdana"/>
                <w:szCs w:val="18"/>
                <w:lang w:val="sr-Latn-RS"/>
              </w:rPr>
              <w:t xml:space="preserve"> </w:t>
            </w:r>
            <w:r w:rsidRPr="00BB0087">
              <w:rPr>
                <w:rFonts w:ascii="Verdana" w:hAnsi="Verdana"/>
                <w:szCs w:val="18"/>
                <w:lang w:val="sr-Latn-RS"/>
              </w:rPr>
              <w:t xml:space="preserve">koji se preduzimaju u postupku digitalne forenzike objašnjavajući detalje svakog koraka i ukazujući na to </w:t>
            </w:r>
            <w:r w:rsidR="0019241C" w:rsidRPr="00BB0087">
              <w:rPr>
                <w:rFonts w:ascii="Verdana" w:hAnsi="Verdana"/>
                <w:szCs w:val="18"/>
                <w:lang w:val="sr-Latn-RS"/>
              </w:rPr>
              <w:t>kako se</w:t>
            </w:r>
            <w:r w:rsidRPr="00BB0087">
              <w:rPr>
                <w:rFonts w:ascii="Verdana" w:hAnsi="Verdana"/>
                <w:szCs w:val="18"/>
                <w:lang w:val="sr-Latn-RS"/>
              </w:rPr>
              <w:t xml:space="preserve"> svaki korak nadovezuje na onaj prethodni u </w:t>
            </w:r>
            <w:r w:rsidR="00545368" w:rsidRPr="00BB0087">
              <w:rPr>
                <w:rFonts w:ascii="Verdana" w:hAnsi="Verdana"/>
                <w:szCs w:val="18"/>
                <w:lang w:val="sr-Latn-RS"/>
              </w:rPr>
              <w:t xml:space="preserve">prikupljanju i predočavanju elektronskih dokaza. </w:t>
            </w:r>
          </w:p>
          <w:p w14:paraId="4D384E6F" w14:textId="02C5248F" w:rsidR="00556D69" w:rsidRPr="00BB0087" w:rsidRDefault="00545368" w:rsidP="00BB0087">
            <w:pPr>
              <w:pStyle w:val="Subtitle"/>
              <w:spacing w:before="120" w:line="260" w:lineRule="atLeast"/>
              <w:rPr>
                <w:rFonts w:ascii="Verdana" w:eastAsia="Times New Roman" w:hAnsi="Verdana"/>
                <w:lang w:val="sr-Latn-RS"/>
              </w:rPr>
            </w:pPr>
            <w:r w:rsidRPr="00BB0087">
              <w:rPr>
                <w:rFonts w:ascii="Verdana" w:hAnsi="Verdana"/>
                <w:szCs w:val="18"/>
                <w:lang w:val="sr-Latn-RS"/>
              </w:rPr>
              <w:t xml:space="preserve">Na kraju se ukazuje na to kako izgledaju elektronski dokazi i polaznicima se predočavaju vrste dokaza s kojima će se oni sretati u svome radu. </w:t>
            </w:r>
          </w:p>
        </w:tc>
      </w:tr>
      <w:tr w:rsidR="00F1574D" w:rsidRPr="00BB0087" w14:paraId="35503B3F" w14:textId="77777777" w:rsidTr="00F1574D">
        <w:trPr>
          <w:trHeight w:val="1259"/>
        </w:trPr>
        <w:tc>
          <w:tcPr>
            <w:tcW w:w="1525" w:type="dxa"/>
            <w:vAlign w:val="center"/>
          </w:tcPr>
          <w:p w14:paraId="5A87A945" w14:textId="4A6E887F" w:rsidR="00556D69" w:rsidRPr="00BB0087" w:rsidRDefault="00314D32" w:rsidP="00BB0087">
            <w:pPr>
              <w:spacing w:before="120" w:after="120" w:line="260" w:lineRule="atLeast"/>
              <w:jc w:val="center"/>
              <w:rPr>
                <w:rFonts w:ascii="Verdana" w:hAnsi="Verdana"/>
                <w:sz w:val="18"/>
                <w:szCs w:val="18"/>
                <w:lang w:val="sr-Latn-RS"/>
              </w:rPr>
            </w:pPr>
            <w:r w:rsidRPr="00BB0087">
              <w:rPr>
                <w:rFonts w:ascii="Verdana" w:hAnsi="Verdana"/>
                <w:sz w:val="18"/>
                <w:szCs w:val="18"/>
                <w:lang w:val="sr-Latn-RS"/>
              </w:rPr>
              <w:t>7</w:t>
            </w:r>
            <w:r w:rsidR="00E77721" w:rsidRPr="00BB0087">
              <w:rPr>
                <w:rFonts w:ascii="Verdana" w:hAnsi="Verdana"/>
                <w:sz w:val="18"/>
                <w:szCs w:val="18"/>
                <w:lang w:val="sr-Latn-RS"/>
              </w:rPr>
              <w:t>9</w:t>
            </w:r>
            <w:r w:rsidR="0019241C" w:rsidRPr="00BB0087">
              <w:rPr>
                <w:rFonts w:ascii="Verdana" w:hAnsi="Verdana"/>
                <w:sz w:val="18"/>
                <w:szCs w:val="18"/>
                <w:lang w:val="sr-Latn-RS"/>
              </w:rPr>
              <w:t>−</w:t>
            </w:r>
            <w:r w:rsidR="00E77721" w:rsidRPr="00BB0087">
              <w:rPr>
                <w:rFonts w:ascii="Verdana" w:hAnsi="Verdana"/>
                <w:sz w:val="18"/>
                <w:szCs w:val="18"/>
                <w:lang w:val="sr-Latn-RS"/>
              </w:rPr>
              <w:t>80</w:t>
            </w:r>
            <w:r w:rsidR="0019241C" w:rsidRPr="00BB0087">
              <w:rPr>
                <w:rFonts w:ascii="Verdana" w:hAnsi="Verdana"/>
                <w:sz w:val="18"/>
                <w:szCs w:val="18"/>
                <w:lang w:val="sr-Latn-RS"/>
              </w:rPr>
              <w:t>.</w:t>
            </w:r>
          </w:p>
          <w:p w14:paraId="5DE9D224" w14:textId="29E8C5A9" w:rsidR="00F1574D" w:rsidRPr="00BB0087" w:rsidRDefault="00545368" w:rsidP="00BB0087">
            <w:pPr>
              <w:spacing w:before="120" w:after="120" w:line="260" w:lineRule="atLeast"/>
              <w:jc w:val="center"/>
              <w:rPr>
                <w:rFonts w:ascii="Verdana" w:hAnsi="Verdana"/>
                <w:sz w:val="18"/>
                <w:szCs w:val="18"/>
                <w:lang w:val="sr-Latn-RS"/>
              </w:rPr>
            </w:pPr>
            <w:r w:rsidRPr="00BB0087">
              <w:rPr>
                <w:rFonts w:ascii="Verdana" w:hAnsi="Verdana"/>
                <w:sz w:val="18"/>
                <w:szCs w:val="18"/>
                <w:lang w:val="sr-Latn-RS"/>
              </w:rPr>
              <w:t>Važni slajdovi</w:t>
            </w:r>
          </w:p>
        </w:tc>
        <w:tc>
          <w:tcPr>
            <w:tcW w:w="7485" w:type="dxa"/>
            <w:gridSpan w:val="2"/>
            <w:vAlign w:val="center"/>
          </w:tcPr>
          <w:p w14:paraId="6E2FA816" w14:textId="72996D50" w:rsidR="00314D32" w:rsidRPr="00BB0087" w:rsidRDefault="00545368" w:rsidP="00BB0087">
            <w:pPr>
              <w:pStyle w:val="Subtitle"/>
              <w:spacing w:before="120" w:line="260" w:lineRule="atLeast"/>
              <w:rPr>
                <w:rFonts w:ascii="Verdana" w:hAnsi="Verdana"/>
                <w:lang w:val="sr-Latn-RS"/>
              </w:rPr>
            </w:pPr>
            <w:r w:rsidRPr="00BB0087">
              <w:rPr>
                <w:rFonts w:ascii="Verdana" w:hAnsi="Verdana"/>
                <w:szCs w:val="18"/>
                <w:lang w:val="sr-Latn-RS"/>
              </w:rPr>
              <w:t>Ovi slajdovi zaokružuju sesiju – rekapitulirajući sadržaj i pružajući polaznicima mogućnost da postave pitanja kako bi im se razjasnilo ono što im je ostalo nedorečeno.</w:t>
            </w:r>
          </w:p>
        </w:tc>
      </w:tr>
      <w:tr w:rsidR="00CB3026" w:rsidRPr="00BB0087" w14:paraId="2ECF09B7" w14:textId="77777777" w:rsidTr="00F1574D">
        <w:trPr>
          <w:trHeight w:val="890"/>
        </w:trPr>
        <w:tc>
          <w:tcPr>
            <w:tcW w:w="9010" w:type="dxa"/>
            <w:gridSpan w:val="3"/>
            <w:vAlign w:val="center"/>
          </w:tcPr>
          <w:p w14:paraId="55ED1F4B" w14:textId="1930FC48" w:rsidR="00CB3026" w:rsidRPr="00BB0087" w:rsidRDefault="00545368" w:rsidP="00BB0087">
            <w:pPr>
              <w:spacing w:before="120" w:after="120" w:line="260" w:lineRule="atLeast"/>
              <w:rPr>
                <w:rFonts w:ascii="Verdana" w:hAnsi="Verdana"/>
                <w:b/>
                <w:sz w:val="22"/>
                <w:szCs w:val="22"/>
                <w:lang w:val="sr-Latn-RS"/>
              </w:rPr>
            </w:pPr>
            <w:r w:rsidRPr="00BB0087">
              <w:rPr>
                <w:rFonts w:ascii="Verdana" w:hAnsi="Verdana"/>
                <w:b/>
                <w:sz w:val="22"/>
                <w:szCs w:val="22"/>
                <w:lang w:val="sr-Latn-RS"/>
              </w:rPr>
              <w:lastRenderedPageBreak/>
              <w:t>Praktične vežbe</w:t>
            </w:r>
          </w:p>
          <w:p w14:paraId="04D65D89" w14:textId="5A8B6FE0" w:rsidR="00CB3026" w:rsidRPr="00BB0087" w:rsidRDefault="00545368" w:rsidP="00BB0087">
            <w:pPr>
              <w:spacing w:before="120" w:after="120" w:line="260" w:lineRule="atLeast"/>
              <w:jc w:val="both"/>
              <w:rPr>
                <w:rFonts w:ascii="Verdana" w:hAnsi="Verdana"/>
                <w:sz w:val="18"/>
                <w:szCs w:val="18"/>
                <w:lang w:val="sr-Latn-RS"/>
              </w:rPr>
            </w:pPr>
            <w:r w:rsidRPr="00BB0087">
              <w:rPr>
                <w:rFonts w:ascii="Verdana" w:hAnsi="Verdana"/>
                <w:color w:val="000000" w:themeColor="text1"/>
                <w:sz w:val="18"/>
                <w:szCs w:val="18"/>
                <w:lang w:val="sr-Latn-RS"/>
              </w:rPr>
              <w:t>Za ovu sesiju predviđena je jedna praktična vežba</w:t>
            </w:r>
            <w:r w:rsidR="005A6794" w:rsidRPr="00BB0087">
              <w:rPr>
                <w:rFonts w:ascii="Verdana" w:hAnsi="Verdana"/>
                <w:color w:val="000000" w:themeColor="text1"/>
                <w:sz w:val="18"/>
                <w:szCs w:val="18"/>
                <w:lang w:val="sr-Latn-RS"/>
              </w:rPr>
              <w:t>,</w:t>
            </w:r>
            <w:r w:rsidRPr="00BB0087">
              <w:rPr>
                <w:rFonts w:ascii="Verdana" w:hAnsi="Verdana"/>
                <w:color w:val="000000" w:themeColor="text1"/>
                <w:sz w:val="18"/>
                <w:szCs w:val="18"/>
                <w:lang w:val="sr-Latn-RS"/>
              </w:rPr>
              <w:t xml:space="preserve"> u kojoj predavač daje polaznicima mali uređaj ili deo opreme vezane za računare i pušta ih da taj deo opreme drže u ruci – i potom ga predaju jedni drugima, da bi na kraju razgovarali o tome šta je to što ide iz ruke u ruku i da li se to može na bilo koji način upotrebiti u visokotehnološkom kriminalu. </w:t>
            </w:r>
          </w:p>
        </w:tc>
      </w:tr>
      <w:tr w:rsidR="00CB3026" w:rsidRPr="00BB0087" w14:paraId="603967A2" w14:textId="77777777" w:rsidTr="00F1574D">
        <w:tc>
          <w:tcPr>
            <w:tcW w:w="9010" w:type="dxa"/>
            <w:gridSpan w:val="3"/>
            <w:vAlign w:val="center"/>
          </w:tcPr>
          <w:p w14:paraId="57B48D1E" w14:textId="7BAB416F" w:rsidR="00CB3026" w:rsidRPr="00BB0087" w:rsidRDefault="00545368" w:rsidP="00BB0087">
            <w:pPr>
              <w:spacing w:before="120" w:after="120" w:line="260" w:lineRule="atLeast"/>
              <w:rPr>
                <w:rFonts w:ascii="Verdana" w:hAnsi="Verdana"/>
                <w:b/>
                <w:sz w:val="22"/>
                <w:szCs w:val="22"/>
                <w:lang w:val="sr-Latn-RS"/>
              </w:rPr>
            </w:pPr>
            <w:r w:rsidRPr="00BB0087">
              <w:rPr>
                <w:rFonts w:ascii="Verdana" w:hAnsi="Verdana"/>
                <w:b/>
                <w:sz w:val="22"/>
                <w:szCs w:val="22"/>
                <w:lang w:val="sr-Latn-RS"/>
              </w:rPr>
              <w:t>Procena/kontrola znanja</w:t>
            </w:r>
          </w:p>
          <w:p w14:paraId="4496975B" w14:textId="6D6C6D13" w:rsidR="00CB3026" w:rsidRPr="00BB0087" w:rsidRDefault="00545368" w:rsidP="00BB0087">
            <w:pPr>
              <w:spacing w:before="120" w:after="120" w:line="260" w:lineRule="atLeast"/>
              <w:jc w:val="both"/>
              <w:rPr>
                <w:rFonts w:ascii="Verdana" w:hAnsi="Verdana"/>
                <w:sz w:val="18"/>
                <w:szCs w:val="18"/>
                <w:lang w:val="sr-Latn-RS"/>
              </w:rPr>
            </w:pPr>
            <w:r w:rsidRPr="00BB0087">
              <w:rPr>
                <w:rFonts w:ascii="Verdana" w:hAnsi="Verdana"/>
                <w:color w:val="000000" w:themeColor="text1"/>
                <w:sz w:val="18"/>
                <w:szCs w:val="18"/>
                <w:lang w:val="sr-Latn-RS"/>
              </w:rPr>
              <w:t xml:space="preserve">Nije planiran nikakav poseban test znanja </w:t>
            </w:r>
            <w:r w:rsidR="005D4F7C" w:rsidRPr="00BB0087">
              <w:rPr>
                <w:rFonts w:ascii="Verdana" w:hAnsi="Verdana"/>
                <w:color w:val="000000" w:themeColor="text1"/>
                <w:sz w:val="18"/>
                <w:szCs w:val="18"/>
                <w:lang w:val="sr-Latn-RS"/>
              </w:rPr>
              <w:t>n</w:t>
            </w:r>
            <w:r w:rsidRPr="00BB0087">
              <w:rPr>
                <w:rFonts w:ascii="Verdana" w:hAnsi="Verdana"/>
                <w:color w:val="000000" w:themeColor="text1"/>
                <w:sz w:val="18"/>
                <w:szCs w:val="18"/>
                <w:lang w:val="sr-Latn-RS"/>
              </w:rPr>
              <w:t>i</w:t>
            </w:r>
            <w:r w:rsidR="005D4F7C" w:rsidRPr="00BB0087">
              <w:rPr>
                <w:rFonts w:ascii="Verdana" w:hAnsi="Verdana"/>
                <w:color w:val="000000" w:themeColor="text1"/>
                <w:sz w:val="18"/>
                <w:szCs w:val="18"/>
                <w:lang w:val="sr-Latn-RS"/>
              </w:rPr>
              <w:t>t</w:t>
            </w:r>
            <w:r w:rsidRPr="00BB0087">
              <w:rPr>
                <w:rFonts w:ascii="Verdana" w:hAnsi="Verdana"/>
                <w:color w:val="000000" w:themeColor="text1"/>
                <w:sz w:val="18"/>
                <w:szCs w:val="18"/>
                <w:lang w:val="sr-Latn-RS"/>
              </w:rPr>
              <w:t xml:space="preserve">i procena za ovu sesiju. </w:t>
            </w:r>
          </w:p>
        </w:tc>
      </w:tr>
    </w:tbl>
    <w:p w14:paraId="15498912" w14:textId="77777777" w:rsidR="00D82C18" w:rsidRPr="00BB0087" w:rsidRDefault="00D82C18" w:rsidP="00BB0087">
      <w:pPr>
        <w:spacing w:before="120" w:after="120" w:line="260" w:lineRule="atLeast"/>
        <w:rPr>
          <w:rFonts w:ascii="Verdana" w:hAnsi="Verdana"/>
          <w:lang w:val="sr-Latn-RS"/>
        </w:rPr>
      </w:pPr>
    </w:p>
    <w:sectPr w:rsidR="00D82C18" w:rsidRPr="00BB0087"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9"/>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337E5"/>
    <w:rsid w:val="000C40EE"/>
    <w:rsid w:val="000E2A6B"/>
    <w:rsid w:val="000F7896"/>
    <w:rsid w:val="0019241C"/>
    <w:rsid w:val="001D603D"/>
    <w:rsid w:val="001E1785"/>
    <w:rsid w:val="001E7389"/>
    <w:rsid w:val="00271010"/>
    <w:rsid w:val="002E3ECE"/>
    <w:rsid w:val="002F3B54"/>
    <w:rsid w:val="003115F5"/>
    <w:rsid w:val="00314D32"/>
    <w:rsid w:val="0034224C"/>
    <w:rsid w:val="00342639"/>
    <w:rsid w:val="003453F7"/>
    <w:rsid w:val="003503F3"/>
    <w:rsid w:val="003630ED"/>
    <w:rsid w:val="00367229"/>
    <w:rsid w:val="003A435F"/>
    <w:rsid w:val="003C1F35"/>
    <w:rsid w:val="003F6587"/>
    <w:rsid w:val="00450007"/>
    <w:rsid w:val="00457DD3"/>
    <w:rsid w:val="00481F92"/>
    <w:rsid w:val="00496833"/>
    <w:rsid w:val="004B7351"/>
    <w:rsid w:val="00545368"/>
    <w:rsid w:val="00556D69"/>
    <w:rsid w:val="005703B7"/>
    <w:rsid w:val="005A4E47"/>
    <w:rsid w:val="005A6794"/>
    <w:rsid w:val="005D4432"/>
    <w:rsid w:val="005D4F7C"/>
    <w:rsid w:val="005E48D4"/>
    <w:rsid w:val="006527C6"/>
    <w:rsid w:val="006B0B52"/>
    <w:rsid w:val="006F188D"/>
    <w:rsid w:val="0075334E"/>
    <w:rsid w:val="007678A6"/>
    <w:rsid w:val="007E07B1"/>
    <w:rsid w:val="00837D70"/>
    <w:rsid w:val="00844FBF"/>
    <w:rsid w:val="008817F1"/>
    <w:rsid w:val="0089765C"/>
    <w:rsid w:val="008A4C93"/>
    <w:rsid w:val="008E3FE7"/>
    <w:rsid w:val="00906F18"/>
    <w:rsid w:val="00915AE5"/>
    <w:rsid w:val="00931CD4"/>
    <w:rsid w:val="00951791"/>
    <w:rsid w:val="0098003E"/>
    <w:rsid w:val="009D1DB1"/>
    <w:rsid w:val="009E3827"/>
    <w:rsid w:val="009F336B"/>
    <w:rsid w:val="00A03CF0"/>
    <w:rsid w:val="00A32036"/>
    <w:rsid w:val="00A342ED"/>
    <w:rsid w:val="00A4110D"/>
    <w:rsid w:val="00A62C6D"/>
    <w:rsid w:val="00A734A5"/>
    <w:rsid w:val="00A76996"/>
    <w:rsid w:val="00AA5742"/>
    <w:rsid w:val="00AC2DFA"/>
    <w:rsid w:val="00B3608C"/>
    <w:rsid w:val="00BB0087"/>
    <w:rsid w:val="00BD0E51"/>
    <w:rsid w:val="00BF007C"/>
    <w:rsid w:val="00BF406B"/>
    <w:rsid w:val="00C115FC"/>
    <w:rsid w:val="00C541A2"/>
    <w:rsid w:val="00C70C5C"/>
    <w:rsid w:val="00C84416"/>
    <w:rsid w:val="00CB02C4"/>
    <w:rsid w:val="00CB3026"/>
    <w:rsid w:val="00CC1F79"/>
    <w:rsid w:val="00CE7DB5"/>
    <w:rsid w:val="00CF145A"/>
    <w:rsid w:val="00D662A9"/>
    <w:rsid w:val="00D82C18"/>
    <w:rsid w:val="00E11085"/>
    <w:rsid w:val="00E13BE7"/>
    <w:rsid w:val="00E274B2"/>
    <w:rsid w:val="00E7344B"/>
    <w:rsid w:val="00E77721"/>
    <w:rsid w:val="00E95703"/>
    <w:rsid w:val="00F06F6D"/>
    <w:rsid w:val="00F1574D"/>
    <w:rsid w:val="00F23183"/>
    <w:rsid w:val="00F504D6"/>
    <w:rsid w:val="00F62A15"/>
    <w:rsid w:val="00F955B5"/>
    <w:rsid w:val="00FB24E8"/>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7789C187-9663-4D0E-B037-055C7676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paragraph" w:styleId="BalloonText">
    <w:name w:val="Balloon Text"/>
    <w:basedOn w:val="Normal"/>
    <w:link w:val="BalloonTextChar"/>
    <w:uiPriority w:val="99"/>
    <w:semiHidden/>
    <w:unhideWhenUsed/>
    <w:rsid w:val="00E274B2"/>
    <w:rPr>
      <w:rFonts w:ascii="Tahoma" w:hAnsi="Tahoma" w:cs="Tahoma"/>
      <w:sz w:val="16"/>
      <w:szCs w:val="16"/>
    </w:rPr>
  </w:style>
  <w:style w:type="character" w:customStyle="1" w:styleId="BalloonTextChar">
    <w:name w:val="Balloon Text Char"/>
    <w:basedOn w:val="DefaultParagraphFont"/>
    <w:link w:val="BalloonText"/>
    <w:uiPriority w:val="99"/>
    <w:semiHidden/>
    <w:rsid w:val="00E274B2"/>
    <w:rPr>
      <w:rFonts w:ascii="Tahoma" w:hAnsi="Tahoma" w:cs="Tahoma"/>
      <w:sz w:val="16"/>
      <w:szCs w:val="16"/>
    </w:rPr>
  </w:style>
  <w:style w:type="character" w:styleId="CommentReference">
    <w:name w:val="annotation reference"/>
    <w:basedOn w:val="DefaultParagraphFont"/>
    <w:uiPriority w:val="99"/>
    <w:semiHidden/>
    <w:unhideWhenUsed/>
    <w:rsid w:val="00E274B2"/>
    <w:rPr>
      <w:sz w:val="16"/>
      <w:szCs w:val="16"/>
    </w:rPr>
  </w:style>
  <w:style w:type="paragraph" w:styleId="CommentText">
    <w:name w:val="annotation text"/>
    <w:basedOn w:val="Normal"/>
    <w:link w:val="CommentTextChar"/>
    <w:uiPriority w:val="99"/>
    <w:semiHidden/>
    <w:unhideWhenUsed/>
    <w:rsid w:val="00E274B2"/>
    <w:rPr>
      <w:sz w:val="20"/>
      <w:szCs w:val="20"/>
    </w:rPr>
  </w:style>
  <w:style w:type="character" w:customStyle="1" w:styleId="CommentTextChar">
    <w:name w:val="Comment Text Char"/>
    <w:basedOn w:val="DefaultParagraphFont"/>
    <w:link w:val="CommentText"/>
    <w:uiPriority w:val="99"/>
    <w:semiHidden/>
    <w:rsid w:val="00E274B2"/>
    <w:rPr>
      <w:sz w:val="20"/>
      <w:szCs w:val="20"/>
    </w:rPr>
  </w:style>
  <w:style w:type="paragraph" w:styleId="CommentSubject">
    <w:name w:val="annotation subject"/>
    <w:basedOn w:val="CommentText"/>
    <w:next w:val="CommentText"/>
    <w:link w:val="CommentSubjectChar"/>
    <w:uiPriority w:val="99"/>
    <w:semiHidden/>
    <w:unhideWhenUsed/>
    <w:rsid w:val="00E274B2"/>
    <w:rPr>
      <w:b/>
      <w:bCs/>
    </w:rPr>
  </w:style>
  <w:style w:type="character" w:customStyle="1" w:styleId="CommentSubjectChar">
    <w:name w:val="Comment Subject Char"/>
    <w:basedOn w:val="CommentTextChar"/>
    <w:link w:val="CommentSubject"/>
    <w:uiPriority w:val="99"/>
    <w:semiHidden/>
    <w:rsid w:val="00E274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1362</Words>
  <Characters>7766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CEAUSU Diana</cp:lastModifiedBy>
  <cp:revision>3</cp:revision>
  <dcterms:created xsi:type="dcterms:W3CDTF">2021-04-12T11:04:00Z</dcterms:created>
  <dcterms:modified xsi:type="dcterms:W3CDTF">2021-04-14T07:31:00Z</dcterms:modified>
</cp:coreProperties>
</file>